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CD" w:rsidRPr="0095698B" w:rsidRDefault="005879CD" w:rsidP="006B220F">
      <w:pPr>
        <w:rPr>
          <w:rFonts w:ascii="Cambria" w:hAnsi="Cambria"/>
          <w:b/>
          <w:i/>
          <w:sz w:val="28"/>
          <w:szCs w:val="28"/>
          <w:u w:val="single"/>
        </w:rPr>
      </w:pPr>
      <w:r w:rsidRPr="0095698B">
        <w:rPr>
          <w:rFonts w:ascii="Cambria" w:hAnsi="Cambria"/>
          <w:b/>
          <w:i/>
          <w:sz w:val="28"/>
          <w:szCs w:val="28"/>
          <w:u w:val="single"/>
        </w:rPr>
        <w:t>PROMOTEPREVENT COMMISSION</w:t>
      </w:r>
      <w:r w:rsidR="00FA2DFA" w:rsidRPr="0095698B">
        <w:rPr>
          <w:rFonts w:ascii="Cambria" w:hAnsi="Cambria"/>
          <w:b/>
          <w:i/>
          <w:sz w:val="28"/>
          <w:szCs w:val="28"/>
          <w:u w:val="single"/>
        </w:rPr>
        <w:t xml:space="preserve"> </w:t>
      </w:r>
      <w:r w:rsidRPr="0095698B">
        <w:rPr>
          <w:rFonts w:ascii="Cambria" w:hAnsi="Cambria"/>
          <w:b/>
          <w:i/>
          <w:sz w:val="28"/>
          <w:szCs w:val="28"/>
          <w:u w:val="single"/>
        </w:rPr>
        <w:t xml:space="preserve">MOTIONS, December 2017 </w:t>
      </w:r>
    </w:p>
    <w:p w:rsidR="00FA2DFA" w:rsidRPr="0095698B" w:rsidRDefault="00FA2DFA" w:rsidP="006B4CE2">
      <w:pPr>
        <w:spacing w:after="0"/>
        <w:rPr>
          <w:rFonts w:ascii="Cambria" w:hAnsi="Cambria"/>
          <w:b/>
          <w:sz w:val="28"/>
          <w:szCs w:val="28"/>
          <w:u w:val="single"/>
        </w:rPr>
      </w:pPr>
      <w:r w:rsidRPr="0095698B">
        <w:rPr>
          <w:rFonts w:ascii="Cambria" w:hAnsi="Cambria"/>
          <w:b/>
          <w:sz w:val="28"/>
          <w:szCs w:val="28"/>
          <w:u w:val="single"/>
        </w:rPr>
        <w:t>MOTION 1: RECOMMENDING POLICIES</w:t>
      </w:r>
    </w:p>
    <w:p w:rsidR="00FA2DFA" w:rsidRPr="0095698B" w:rsidRDefault="00601F43" w:rsidP="0087495F">
      <w:pPr>
        <w:rPr>
          <w:rFonts w:ascii="Cambria" w:hAnsi="Cambria"/>
          <w:sz w:val="24"/>
          <w:szCs w:val="24"/>
        </w:rPr>
      </w:pPr>
      <w:r>
        <w:rPr>
          <w:rFonts w:ascii="Cambria" w:hAnsi="Cambria"/>
          <w:sz w:val="24"/>
          <w:szCs w:val="24"/>
        </w:rPr>
        <w:t xml:space="preserve">Reps. Cantwell and </w:t>
      </w:r>
      <w:r w:rsidR="00FA2DFA" w:rsidRPr="0095698B">
        <w:rPr>
          <w:rFonts w:ascii="Cambria" w:hAnsi="Cambria"/>
          <w:sz w:val="24"/>
          <w:szCs w:val="24"/>
        </w:rPr>
        <w:t>Ferguson</w:t>
      </w:r>
      <w:r>
        <w:rPr>
          <w:rFonts w:ascii="Cambria" w:hAnsi="Cambria"/>
          <w:sz w:val="24"/>
          <w:szCs w:val="24"/>
        </w:rPr>
        <w:t xml:space="preserve"> and Senator O’Connor</w:t>
      </w:r>
      <w:r w:rsidR="00FA2DFA" w:rsidRPr="0095698B">
        <w:rPr>
          <w:rFonts w:ascii="Cambria" w:hAnsi="Cambria"/>
          <w:sz w:val="24"/>
          <w:szCs w:val="24"/>
        </w:rPr>
        <w:t xml:space="preserve"> move that the Commission recommend general policy changes, </w:t>
      </w:r>
      <w:r w:rsidR="00FA2DFA" w:rsidRPr="0095698B">
        <w:rPr>
          <w:rFonts w:ascii="Cambria" w:hAnsi="Cambria"/>
          <w:b/>
          <w:sz w:val="24"/>
          <w:szCs w:val="24"/>
        </w:rPr>
        <w:t>not</w:t>
      </w:r>
      <w:r w:rsidR="00FA2DFA" w:rsidRPr="0095698B">
        <w:rPr>
          <w:rFonts w:ascii="Cambria" w:hAnsi="Cambria"/>
          <w:sz w:val="24"/>
          <w:szCs w:val="24"/>
        </w:rPr>
        <w:t xml:space="preserve"> </w:t>
      </w:r>
      <w:r w:rsidRPr="00601F43">
        <w:rPr>
          <w:rFonts w:ascii="Cambria" w:hAnsi="Cambria"/>
          <w:b/>
          <w:sz w:val="24"/>
          <w:szCs w:val="24"/>
        </w:rPr>
        <w:t>name or recommend any filed legislation</w:t>
      </w:r>
      <w:r>
        <w:rPr>
          <w:rFonts w:ascii="Cambria" w:hAnsi="Cambria"/>
          <w:b/>
          <w:sz w:val="24"/>
          <w:szCs w:val="24"/>
        </w:rPr>
        <w:t>.</w:t>
      </w:r>
    </w:p>
    <w:p w:rsidR="0095698B" w:rsidRPr="0095698B" w:rsidRDefault="0095698B" w:rsidP="0087495F">
      <w:pPr>
        <w:pStyle w:val="xmsonormal"/>
        <w:rPr>
          <w:rFonts w:ascii="Cambria" w:hAnsi="Cambria"/>
          <w:bCs/>
          <w:i/>
          <w:sz w:val="24"/>
          <w:szCs w:val="24"/>
        </w:rPr>
      </w:pPr>
      <w:r w:rsidRPr="0095698B">
        <w:rPr>
          <w:rFonts w:ascii="Cambria" w:hAnsi="Cambria"/>
          <w:b/>
          <w:bCs/>
          <w:i/>
          <w:sz w:val="24"/>
          <w:szCs w:val="24"/>
        </w:rPr>
        <w:t>RATIONALE</w:t>
      </w:r>
      <w:r w:rsidRPr="0095698B">
        <w:rPr>
          <w:rFonts w:ascii="Cambria" w:hAnsi="Cambria"/>
          <w:bCs/>
          <w:i/>
          <w:sz w:val="24"/>
          <w:szCs w:val="24"/>
        </w:rPr>
        <w:t>: A standard practice for many Commissions is not to name specific bills as part of recommendations. This will not prevent us from reviewing and recommending policies embodied</w:t>
      </w:r>
      <w:r w:rsidR="0087495F">
        <w:rPr>
          <w:rFonts w:ascii="Cambria" w:hAnsi="Cambria"/>
          <w:bCs/>
          <w:i/>
          <w:sz w:val="24"/>
          <w:szCs w:val="24"/>
        </w:rPr>
        <w:t xml:space="preserve"> </w:t>
      </w:r>
      <w:r w:rsidRPr="0095698B">
        <w:rPr>
          <w:rFonts w:ascii="Cambria" w:hAnsi="Cambria"/>
          <w:bCs/>
          <w:i/>
          <w:sz w:val="24"/>
          <w:szCs w:val="24"/>
        </w:rPr>
        <w:t xml:space="preserve">in any particular bill.   </w:t>
      </w:r>
    </w:p>
    <w:p w:rsidR="00FA2DFA" w:rsidRPr="0095698B" w:rsidRDefault="00FA2DFA" w:rsidP="006B4CE2">
      <w:pPr>
        <w:spacing w:after="0"/>
        <w:rPr>
          <w:rFonts w:ascii="Cambria" w:hAnsi="Cambria"/>
          <w:sz w:val="24"/>
          <w:szCs w:val="24"/>
        </w:rPr>
      </w:pPr>
    </w:p>
    <w:p w:rsidR="00FA2DFA" w:rsidRPr="0095698B" w:rsidRDefault="00FA2DFA" w:rsidP="006B4CE2">
      <w:pPr>
        <w:spacing w:after="0"/>
        <w:rPr>
          <w:rFonts w:ascii="Cambria" w:hAnsi="Cambria"/>
          <w:b/>
          <w:sz w:val="28"/>
          <w:szCs w:val="28"/>
          <w:u w:val="single"/>
        </w:rPr>
      </w:pPr>
      <w:r w:rsidRPr="0095698B">
        <w:rPr>
          <w:rFonts w:ascii="Cambria" w:hAnsi="Cambria"/>
          <w:b/>
          <w:sz w:val="28"/>
          <w:szCs w:val="28"/>
          <w:u w:val="single"/>
        </w:rPr>
        <w:t>MOTION 2: ADOPTING DEFINITIONS FOR KEY TERMS</w:t>
      </w:r>
    </w:p>
    <w:p w:rsidR="00FA2DFA" w:rsidRPr="0095698B" w:rsidRDefault="00601F43" w:rsidP="006B4CE2">
      <w:pPr>
        <w:spacing w:line="240" w:lineRule="auto"/>
        <w:rPr>
          <w:rFonts w:ascii="Cambria" w:hAnsi="Cambria"/>
          <w:sz w:val="24"/>
          <w:szCs w:val="24"/>
        </w:rPr>
      </w:pPr>
      <w:r>
        <w:rPr>
          <w:rFonts w:ascii="Cambria" w:hAnsi="Cambria"/>
          <w:sz w:val="24"/>
          <w:szCs w:val="24"/>
        </w:rPr>
        <w:t xml:space="preserve">Reps. Cantwell and </w:t>
      </w:r>
      <w:r w:rsidRPr="0095698B">
        <w:rPr>
          <w:rFonts w:ascii="Cambria" w:hAnsi="Cambria"/>
          <w:sz w:val="24"/>
          <w:szCs w:val="24"/>
        </w:rPr>
        <w:t>Ferguson</w:t>
      </w:r>
      <w:r>
        <w:rPr>
          <w:rFonts w:ascii="Cambria" w:hAnsi="Cambria"/>
          <w:sz w:val="24"/>
          <w:szCs w:val="24"/>
        </w:rPr>
        <w:t xml:space="preserve"> and Senator O’Connor</w:t>
      </w:r>
      <w:r w:rsidRPr="0095698B">
        <w:rPr>
          <w:rFonts w:ascii="Cambria" w:hAnsi="Cambria"/>
          <w:sz w:val="24"/>
          <w:szCs w:val="24"/>
        </w:rPr>
        <w:t xml:space="preserve"> </w:t>
      </w:r>
      <w:r>
        <w:rPr>
          <w:rFonts w:ascii="Cambria" w:hAnsi="Cambria"/>
          <w:sz w:val="24"/>
          <w:szCs w:val="24"/>
        </w:rPr>
        <w:t>move</w:t>
      </w:r>
      <w:r w:rsidR="00011ACD">
        <w:rPr>
          <w:rFonts w:ascii="Cambria" w:hAnsi="Cambria"/>
          <w:sz w:val="24"/>
          <w:szCs w:val="24"/>
        </w:rPr>
        <w:t xml:space="preserve"> that</w:t>
      </w:r>
      <w:r>
        <w:rPr>
          <w:rFonts w:ascii="Cambria" w:hAnsi="Cambria"/>
          <w:sz w:val="24"/>
          <w:szCs w:val="24"/>
        </w:rPr>
        <w:t xml:space="preserve"> </w:t>
      </w:r>
      <w:r w:rsidR="00FA2DFA" w:rsidRPr="0095698B">
        <w:rPr>
          <w:rFonts w:ascii="Cambria" w:hAnsi="Cambria"/>
          <w:sz w:val="24"/>
          <w:szCs w:val="24"/>
        </w:rPr>
        <w:t>the Commission adopt the following key terms for the purposes of developing recommendations (as defined by the U.S. Substance Abuse Mental Health Services Administration</w:t>
      </w:r>
      <w:r w:rsidR="0095698B">
        <w:rPr>
          <w:rFonts w:ascii="Cambria" w:hAnsi="Cambria"/>
          <w:sz w:val="24"/>
          <w:szCs w:val="24"/>
        </w:rPr>
        <w:t xml:space="preserve"> &amp;</w:t>
      </w:r>
      <w:r w:rsidR="003816E5">
        <w:rPr>
          <w:rFonts w:ascii="Cambria" w:hAnsi="Cambria"/>
          <w:sz w:val="24"/>
          <w:szCs w:val="24"/>
        </w:rPr>
        <w:t xml:space="preserve"> the</w:t>
      </w:r>
      <w:r w:rsidR="0095698B">
        <w:rPr>
          <w:rFonts w:ascii="Cambria" w:hAnsi="Cambria"/>
          <w:sz w:val="24"/>
          <w:szCs w:val="24"/>
        </w:rPr>
        <w:t xml:space="preserve"> Institute of Medicine</w:t>
      </w:r>
      <w:r w:rsidR="00FA2DFA" w:rsidRPr="0095698B">
        <w:rPr>
          <w:rStyle w:val="EndnoteReference"/>
          <w:rFonts w:ascii="Cambria" w:hAnsi="Cambria"/>
          <w:sz w:val="24"/>
          <w:szCs w:val="24"/>
        </w:rPr>
        <w:endnoteReference w:id="1"/>
      </w:r>
      <w:r w:rsidR="00FA2DFA" w:rsidRPr="0095698B">
        <w:rPr>
          <w:rFonts w:ascii="Cambria" w:hAnsi="Cambria"/>
          <w:sz w:val="24"/>
          <w:szCs w:val="24"/>
        </w:rPr>
        <w:t xml:space="preserve">): </w:t>
      </w:r>
    </w:p>
    <w:p w:rsidR="00FA2DFA" w:rsidRPr="0095698B" w:rsidRDefault="00FA2DFA" w:rsidP="00FA2DFA">
      <w:pPr>
        <w:pStyle w:val="ListParagraph"/>
        <w:numPr>
          <w:ilvl w:val="0"/>
          <w:numId w:val="5"/>
        </w:numPr>
        <w:spacing w:after="0" w:line="240" w:lineRule="auto"/>
        <w:rPr>
          <w:rFonts w:ascii="Cambria" w:hAnsi="Cambria"/>
          <w:sz w:val="24"/>
          <w:szCs w:val="24"/>
        </w:rPr>
      </w:pPr>
      <w:r w:rsidRPr="0095698B">
        <w:rPr>
          <w:rFonts w:ascii="Cambria" w:hAnsi="Cambria"/>
          <w:b/>
          <w:sz w:val="24"/>
          <w:szCs w:val="24"/>
        </w:rPr>
        <w:t xml:space="preserve">Behavioral Health Promotion: </w:t>
      </w:r>
      <w:r w:rsidRPr="0095698B">
        <w:rPr>
          <w:rFonts w:ascii="Cambria" w:hAnsi="Cambria"/>
          <w:sz w:val="24"/>
          <w:szCs w:val="24"/>
        </w:rPr>
        <w:t>strategies designed to create environments and conditions that support behavioral health and the ability of individuals to withstand challenges.</w:t>
      </w:r>
    </w:p>
    <w:p w:rsidR="00FA2DFA" w:rsidRPr="0095698B" w:rsidRDefault="00FA2DFA" w:rsidP="00FA2DFA">
      <w:pPr>
        <w:pStyle w:val="ListParagraph"/>
        <w:spacing w:after="0" w:line="240" w:lineRule="auto"/>
        <w:rPr>
          <w:rFonts w:ascii="Cambria" w:hAnsi="Cambria"/>
          <w:sz w:val="24"/>
          <w:szCs w:val="24"/>
        </w:rPr>
      </w:pPr>
    </w:p>
    <w:p w:rsidR="00FA2DFA" w:rsidRPr="0095698B" w:rsidRDefault="00FA2DFA" w:rsidP="00FA2DFA">
      <w:pPr>
        <w:pStyle w:val="ListParagraph"/>
        <w:numPr>
          <w:ilvl w:val="0"/>
          <w:numId w:val="5"/>
        </w:numPr>
        <w:spacing w:after="0" w:line="240" w:lineRule="auto"/>
        <w:rPr>
          <w:rFonts w:ascii="Cambria" w:hAnsi="Cambria"/>
          <w:sz w:val="24"/>
          <w:szCs w:val="24"/>
        </w:rPr>
      </w:pPr>
      <w:r w:rsidRPr="0095698B">
        <w:rPr>
          <w:rFonts w:ascii="Cambria" w:hAnsi="Cambria"/>
          <w:b/>
          <w:sz w:val="24"/>
          <w:szCs w:val="24"/>
        </w:rPr>
        <w:t xml:space="preserve">Prevention: </w:t>
      </w:r>
      <w:r w:rsidRPr="0095698B">
        <w:rPr>
          <w:rFonts w:ascii="Cambria" w:hAnsi="Cambria"/>
          <w:sz w:val="24"/>
          <w:szCs w:val="24"/>
        </w:rPr>
        <w:t>interventions intended to prevent or reduce the risk of developing a behavioral health problem, such as underage alcohol use, prescription drug misuse, and illicit drug use.</w:t>
      </w:r>
    </w:p>
    <w:p w:rsidR="00FA2DFA" w:rsidRPr="0095698B" w:rsidRDefault="00FA2DFA" w:rsidP="00FA2DFA">
      <w:pPr>
        <w:pStyle w:val="ListParagraph"/>
        <w:spacing w:line="240" w:lineRule="auto"/>
        <w:rPr>
          <w:rFonts w:ascii="Cambria" w:hAnsi="Cambria"/>
          <w:sz w:val="24"/>
          <w:szCs w:val="24"/>
        </w:rPr>
      </w:pPr>
    </w:p>
    <w:p w:rsidR="00FA2DFA" w:rsidRPr="0095698B" w:rsidRDefault="00FA2DFA" w:rsidP="00FA2DFA">
      <w:pPr>
        <w:pStyle w:val="ListParagraph"/>
        <w:numPr>
          <w:ilvl w:val="0"/>
          <w:numId w:val="5"/>
        </w:numPr>
        <w:spacing w:line="240" w:lineRule="auto"/>
        <w:rPr>
          <w:rFonts w:ascii="Cambria" w:hAnsi="Cambria"/>
          <w:sz w:val="24"/>
          <w:szCs w:val="24"/>
        </w:rPr>
      </w:pPr>
      <w:r w:rsidRPr="0095698B">
        <w:rPr>
          <w:rFonts w:ascii="Cambria" w:hAnsi="Cambria"/>
          <w:b/>
          <w:sz w:val="24"/>
          <w:szCs w:val="24"/>
        </w:rPr>
        <w:t>Continuum of Behavioral Health Care</w:t>
      </w:r>
      <w:r w:rsidRPr="0095698B">
        <w:rPr>
          <w:rFonts w:ascii="Cambria" w:hAnsi="Cambria"/>
          <w:sz w:val="24"/>
          <w:szCs w:val="24"/>
        </w:rPr>
        <w:t>:</w:t>
      </w:r>
    </w:p>
    <w:p w:rsidR="00FA2DFA" w:rsidRPr="0095698B" w:rsidRDefault="00FA2DFA" w:rsidP="00FA2DFA">
      <w:pPr>
        <w:spacing w:line="240" w:lineRule="auto"/>
        <w:jc w:val="center"/>
        <w:rPr>
          <w:rFonts w:ascii="Cambria" w:hAnsi="Cambria"/>
          <w:sz w:val="24"/>
          <w:szCs w:val="24"/>
        </w:rPr>
      </w:pPr>
      <w:r w:rsidRPr="0095698B">
        <w:rPr>
          <w:rFonts w:ascii="Cambria" w:hAnsi="Cambria"/>
          <w:noProof/>
          <w:sz w:val="24"/>
          <w:szCs w:val="24"/>
        </w:rPr>
        <w:drawing>
          <wp:inline distT="0" distB="0" distL="0" distR="0" wp14:anchorId="230A8F43" wp14:editId="6726B323">
            <wp:extent cx="5867400" cy="3416898"/>
            <wp:effectExtent l="0" t="0" r="0" b="0"/>
            <wp:docPr id="3" name="Picture 3" descr="Image result for Continuum of Behavioral Health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inuum of Behavioral Health Ca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9650" cy="3424032"/>
                    </a:xfrm>
                    <a:prstGeom prst="rect">
                      <a:avLst/>
                    </a:prstGeom>
                    <a:noFill/>
                    <a:ln>
                      <a:noFill/>
                    </a:ln>
                  </pic:spPr>
                </pic:pic>
              </a:graphicData>
            </a:graphic>
          </wp:inline>
        </w:drawing>
      </w:r>
    </w:p>
    <w:p w:rsidR="00FA2DFA" w:rsidRPr="0095698B" w:rsidRDefault="00FA2DFA" w:rsidP="00FA2DFA">
      <w:pPr>
        <w:pStyle w:val="ListParagraph"/>
        <w:numPr>
          <w:ilvl w:val="0"/>
          <w:numId w:val="5"/>
        </w:numPr>
        <w:spacing w:line="240" w:lineRule="auto"/>
        <w:rPr>
          <w:rFonts w:ascii="Cambria" w:hAnsi="Cambria"/>
          <w:sz w:val="24"/>
          <w:szCs w:val="24"/>
        </w:rPr>
      </w:pPr>
      <w:r w:rsidRPr="0095698B">
        <w:rPr>
          <w:rFonts w:ascii="Cambria" w:hAnsi="Cambria"/>
          <w:b/>
          <w:sz w:val="24"/>
          <w:szCs w:val="24"/>
        </w:rPr>
        <w:t>Universal, Selective, and Indicated Levels of Prevention</w:t>
      </w:r>
      <w:r w:rsidRPr="0095698B">
        <w:rPr>
          <w:rFonts w:ascii="Cambria" w:hAnsi="Cambria"/>
          <w:sz w:val="24"/>
          <w:szCs w:val="24"/>
        </w:rPr>
        <w:t>:</w:t>
      </w:r>
    </w:p>
    <w:p w:rsidR="00FA2DFA" w:rsidRPr="0095698B" w:rsidRDefault="00FA2DFA" w:rsidP="00FA2DFA">
      <w:pPr>
        <w:shd w:val="clear" w:color="auto" w:fill="FFFFFF"/>
        <w:spacing w:after="0" w:line="240" w:lineRule="auto"/>
        <w:ind w:left="720"/>
        <w:rPr>
          <w:rFonts w:ascii="Cambria" w:eastAsia="Times New Roman" w:hAnsi="Cambria" w:cs="Tahoma"/>
          <w:color w:val="000000"/>
          <w:sz w:val="24"/>
          <w:szCs w:val="24"/>
        </w:rPr>
      </w:pPr>
      <w:r w:rsidRPr="006903B9">
        <w:rPr>
          <w:rFonts w:ascii="Cambria" w:eastAsia="Times New Roman" w:hAnsi="Cambria" w:cs="Tahoma"/>
          <w:b/>
          <w:bCs/>
          <w:color w:val="000000"/>
          <w:sz w:val="24"/>
          <w:szCs w:val="24"/>
          <w:u w:val="single"/>
        </w:rPr>
        <w:t>Universal interventions</w:t>
      </w:r>
      <w:r w:rsidRPr="0095698B">
        <w:rPr>
          <w:rFonts w:ascii="Cambria" w:eastAsia="Times New Roman" w:hAnsi="Cambria" w:cs="Tahoma"/>
          <w:color w:val="000000"/>
          <w:sz w:val="24"/>
          <w:szCs w:val="24"/>
        </w:rPr>
        <w:t> take the broadest approach and are designed to reach entire groups or populations. Universal interventions might target schools, whole communities, or workplaces.</w:t>
      </w:r>
    </w:p>
    <w:p w:rsidR="00FA2DFA" w:rsidRPr="0095698B" w:rsidRDefault="00FA2DFA" w:rsidP="00FA2DFA">
      <w:pPr>
        <w:shd w:val="clear" w:color="auto" w:fill="FFFFFF"/>
        <w:spacing w:after="0" w:line="240" w:lineRule="auto"/>
        <w:ind w:left="720"/>
        <w:rPr>
          <w:rFonts w:ascii="Cambria" w:eastAsia="Times New Roman" w:hAnsi="Cambria" w:cs="Tahoma"/>
          <w:color w:val="000000"/>
          <w:sz w:val="24"/>
          <w:szCs w:val="24"/>
        </w:rPr>
      </w:pPr>
      <w:r w:rsidRPr="006903B9">
        <w:rPr>
          <w:rFonts w:ascii="Cambria" w:eastAsia="Times New Roman" w:hAnsi="Cambria" w:cs="Tahoma"/>
          <w:b/>
          <w:bCs/>
          <w:color w:val="000000"/>
          <w:sz w:val="24"/>
          <w:szCs w:val="24"/>
          <w:u w:val="single"/>
        </w:rPr>
        <w:t>Selective interventions</w:t>
      </w:r>
      <w:r w:rsidRPr="0095698B">
        <w:rPr>
          <w:rFonts w:ascii="Cambria" w:eastAsia="Times New Roman" w:hAnsi="Cambria" w:cs="Tahoma"/>
          <w:color w:val="000000"/>
          <w:sz w:val="24"/>
          <w:szCs w:val="24"/>
        </w:rPr>
        <w:t> target biological, psychological, or social risk factors that are more prominent among high-risk groups than among the wider population. Examples include prevention education for immigrant families with young children or peer support groups for adults with a family history of disorders.</w:t>
      </w:r>
    </w:p>
    <w:p w:rsidR="00FA2DFA" w:rsidRPr="0095698B" w:rsidRDefault="00FA2DFA" w:rsidP="00FA2DFA">
      <w:pPr>
        <w:shd w:val="clear" w:color="auto" w:fill="FFFFFF"/>
        <w:spacing w:after="0" w:line="240" w:lineRule="auto"/>
        <w:ind w:left="720"/>
        <w:rPr>
          <w:rFonts w:ascii="Cambria" w:hAnsi="Cambria"/>
          <w:noProof/>
        </w:rPr>
      </w:pPr>
      <w:r w:rsidRPr="006903B9">
        <w:rPr>
          <w:rFonts w:ascii="Cambria" w:eastAsia="Times New Roman" w:hAnsi="Cambria" w:cs="Tahoma"/>
          <w:b/>
          <w:bCs/>
          <w:color w:val="000000"/>
          <w:sz w:val="24"/>
          <w:szCs w:val="24"/>
          <w:u w:val="single"/>
        </w:rPr>
        <w:lastRenderedPageBreak/>
        <w:t>Indicated interventions</w:t>
      </w:r>
      <w:r w:rsidRPr="0095698B">
        <w:rPr>
          <w:rFonts w:ascii="Cambria" w:eastAsia="Times New Roman" w:hAnsi="Cambria" w:cs="Tahoma"/>
          <w:color w:val="000000"/>
          <w:sz w:val="24"/>
          <w:szCs w:val="24"/>
        </w:rPr>
        <w:t> target individuals who show signs of being at risk for a disorder. These types of interventions include referral to support services for young adults who violate drug policies or screening and consultation for families of older adults admitted to hospitals with potential alcohol-related injuries.”</w:t>
      </w:r>
      <w:r w:rsidRPr="0095698B">
        <w:rPr>
          <w:rFonts w:ascii="Cambria" w:hAnsi="Cambria"/>
          <w:noProof/>
        </w:rPr>
        <w:t xml:space="preserve"> </w:t>
      </w:r>
    </w:p>
    <w:p w:rsidR="00FA2DFA" w:rsidRPr="0095698B" w:rsidRDefault="00FA2DFA" w:rsidP="00FA2DFA">
      <w:pPr>
        <w:shd w:val="clear" w:color="auto" w:fill="FFFFFF"/>
        <w:spacing w:after="0" w:line="240" w:lineRule="auto"/>
        <w:ind w:left="720"/>
        <w:jc w:val="center"/>
        <w:rPr>
          <w:rFonts w:ascii="Cambria" w:eastAsia="Times New Roman" w:hAnsi="Cambria" w:cs="Tahoma"/>
          <w:color w:val="000000"/>
          <w:sz w:val="24"/>
          <w:szCs w:val="24"/>
        </w:rPr>
      </w:pPr>
      <w:r w:rsidRPr="0095698B">
        <w:rPr>
          <w:rFonts w:ascii="Cambria" w:hAnsi="Cambria"/>
          <w:noProof/>
        </w:rPr>
        <w:drawing>
          <wp:inline distT="0" distB="0" distL="0" distR="0" wp14:anchorId="52B32F96" wp14:editId="3F358095">
            <wp:extent cx="6029325" cy="484986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038915" cy="4857583"/>
                    </a:xfrm>
                    <a:prstGeom prst="rect">
                      <a:avLst/>
                    </a:prstGeom>
                  </pic:spPr>
                </pic:pic>
              </a:graphicData>
            </a:graphic>
          </wp:inline>
        </w:drawing>
      </w:r>
    </w:p>
    <w:p w:rsidR="0095698B" w:rsidRPr="0095698B" w:rsidRDefault="0095698B" w:rsidP="0095698B">
      <w:pPr>
        <w:pStyle w:val="xmsonormal"/>
        <w:rPr>
          <w:rFonts w:ascii="Cambria" w:hAnsi="Cambria"/>
          <w:bCs/>
          <w:i/>
          <w:sz w:val="24"/>
          <w:szCs w:val="24"/>
        </w:rPr>
      </w:pPr>
      <w:r w:rsidRPr="0095698B">
        <w:rPr>
          <w:rFonts w:ascii="Cambria" w:hAnsi="Cambria"/>
          <w:b/>
          <w:bCs/>
          <w:i/>
          <w:sz w:val="24"/>
          <w:szCs w:val="24"/>
        </w:rPr>
        <w:t>RATIONALE</w:t>
      </w:r>
      <w:r w:rsidRPr="0095698B">
        <w:rPr>
          <w:rFonts w:ascii="Cambria" w:hAnsi="Cambria"/>
          <w:bCs/>
          <w:i/>
          <w:sz w:val="24"/>
          <w:szCs w:val="24"/>
        </w:rPr>
        <w:t xml:space="preserve">: </w:t>
      </w:r>
      <w:r w:rsidR="006903B9">
        <w:rPr>
          <w:rFonts w:ascii="Cambria" w:hAnsi="Cambria"/>
          <w:bCs/>
          <w:i/>
          <w:sz w:val="24"/>
          <w:szCs w:val="24"/>
        </w:rPr>
        <w:t>These</w:t>
      </w:r>
      <w:r w:rsidRPr="0095698B">
        <w:rPr>
          <w:rFonts w:ascii="Cambria" w:hAnsi="Cambria"/>
          <w:bCs/>
          <w:i/>
          <w:sz w:val="24"/>
          <w:szCs w:val="24"/>
        </w:rPr>
        <w:t xml:space="preserve"> terms have come up throughout our meetings. However, there </w:t>
      </w:r>
      <w:r w:rsidR="00F76AC3">
        <w:rPr>
          <w:rFonts w:ascii="Cambria" w:hAnsi="Cambria"/>
          <w:bCs/>
          <w:i/>
          <w:sz w:val="24"/>
          <w:szCs w:val="24"/>
        </w:rPr>
        <w:t>is</w:t>
      </w:r>
      <w:r w:rsidRPr="0095698B">
        <w:rPr>
          <w:rFonts w:ascii="Cambria" w:hAnsi="Cambria"/>
          <w:bCs/>
          <w:i/>
          <w:sz w:val="24"/>
          <w:szCs w:val="24"/>
        </w:rPr>
        <w:t xml:space="preserve"> variation in definitions and understanding. Shared definitions will support deliberations. </w:t>
      </w:r>
    </w:p>
    <w:p w:rsidR="0095698B" w:rsidRPr="0095698B" w:rsidRDefault="0095698B" w:rsidP="006B4CE2">
      <w:pPr>
        <w:spacing w:after="0"/>
        <w:rPr>
          <w:rFonts w:ascii="Cambria" w:hAnsi="Cambria"/>
          <w:b/>
          <w:sz w:val="28"/>
          <w:szCs w:val="28"/>
          <w:u w:val="single"/>
        </w:rPr>
      </w:pPr>
    </w:p>
    <w:p w:rsidR="001C19DA" w:rsidRPr="0095698B" w:rsidRDefault="001C19DA" w:rsidP="006B4CE2">
      <w:pPr>
        <w:spacing w:after="0"/>
        <w:rPr>
          <w:rFonts w:ascii="Cambria" w:hAnsi="Cambria"/>
          <w:b/>
          <w:sz w:val="28"/>
          <w:szCs w:val="28"/>
          <w:u w:val="single"/>
        </w:rPr>
      </w:pPr>
      <w:r w:rsidRPr="0095698B">
        <w:rPr>
          <w:rFonts w:ascii="Cambria" w:hAnsi="Cambria"/>
          <w:b/>
          <w:sz w:val="28"/>
          <w:szCs w:val="28"/>
          <w:u w:val="single"/>
        </w:rPr>
        <w:t xml:space="preserve">MOTION </w:t>
      </w:r>
      <w:r w:rsidR="00FA2DFA" w:rsidRPr="0095698B">
        <w:rPr>
          <w:rFonts w:ascii="Cambria" w:hAnsi="Cambria"/>
          <w:b/>
          <w:sz w:val="28"/>
          <w:szCs w:val="28"/>
          <w:u w:val="single"/>
        </w:rPr>
        <w:t>3</w:t>
      </w:r>
      <w:r w:rsidRPr="0095698B">
        <w:rPr>
          <w:rFonts w:ascii="Cambria" w:hAnsi="Cambria"/>
          <w:b/>
          <w:sz w:val="28"/>
          <w:szCs w:val="28"/>
          <w:u w:val="single"/>
        </w:rPr>
        <w:t>:</w:t>
      </w:r>
      <w:r w:rsidR="005879CD" w:rsidRPr="0095698B">
        <w:rPr>
          <w:rFonts w:ascii="Cambria" w:hAnsi="Cambria"/>
          <w:b/>
          <w:sz w:val="28"/>
          <w:szCs w:val="28"/>
          <w:u w:val="single"/>
        </w:rPr>
        <w:t xml:space="preserve"> FOCUSING ON YOUTH AND THOSE </w:t>
      </w:r>
      <w:r w:rsidR="0032432D">
        <w:rPr>
          <w:rFonts w:ascii="Cambria" w:hAnsi="Cambria"/>
          <w:b/>
          <w:sz w:val="28"/>
          <w:szCs w:val="28"/>
          <w:u w:val="single"/>
        </w:rPr>
        <w:t>WHO</w:t>
      </w:r>
      <w:r w:rsidR="005879CD" w:rsidRPr="0095698B">
        <w:rPr>
          <w:rFonts w:ascii="Cambria" w:hAnsi="Cambria"/>
          <w:b/>
          <w:sz w:val="28"/>
          <w:szCs w:val="28"/>
          <w:u w:val="single"/>
        </w:rPr>
        <w:t xml:space="preserve"> SERVE THEM</w:t>
      </w:r>
    </w:p>
    <w:p w:rsidR="00762C95" w:rsidRPr="0095698B" w:rsidRDefault="00601F43" w:rsidP="00FA2DFA">
      <w:pPr>
        <w:spacing w:line="240" w:lineRule="auto"/>
        <w:rPr>
          <w:rFonts w:ascii="Cambria" w:hAnsi="Cambria"/>
          <w:sz w:val="24"/>
          <w:szCs w:val="24"/>
        </w:rPr>
      </w:pPr>
      <w:r>
        <w:rPr>
          <w:rFonts w:ascii="Cambria" w:hAnsi="Cambria"/>
          <w:sz w:val="24"/>
          <w:szCs w:val="24"/>
        </w:rPr>
        <w:t xml:space="preserve">Reps. Cantwell and </w:t>
      </w:r>
      <w:r w:rsidRPr="0095698B">
        <w:rPr>
          <w:rFonts w:ascii="Cambria" w:hAnsi="Cambria"/>
          <w:sz w:val="24"/>
          <w:szCs w:val="24"/>
        </w:rPr>
        <w:t>Ferguson</w:t>
      </w:r>
      <w:r>
        <w:rPr>
          <w:rFonts w:ascii="Cambria" w:hAnsi="Cambria"/>
          <w:sz w:val="24"/>
          <w:szCs w:val="24"/>
        </w:rPr>
        <w:t xml:space="preserve"> and Senator O’Connor</w:t>
      </w:r>
      <w:r w:rsidRPr="0095698B">
        <w:rPr>
          <w:rFonts w:ascii="Cambria" w:hAnsi="Cambria"/>
          <w:sz w:val="24"/>
          <w:szCs w:val="24"/>
        </w:rPr>
        <w:t xml:space="preserve"> </w:t>
      </w:r>
      <w:r w:rsidR="006B220F" w:rsidRPr="0095698B">
        <w:rPr>
          <w:rFonts w:ascii="Cambria" w:hAnsi="Cambria"/>
          <w:sz w:val="24"/>
          <w:szCs w:val="24"/>
        </w:rPr>
        <w:t xml:space="preserve">move that the </w:t>
      </w:r>
      <w:r w:rsidR="00762C95" w:rsidRPr="0095698B">
        <w:rPr>
          <w:rFonts w:ascii="Cambria" w:hAnsi="Cambria"/>
          <w:sz w:val="24"/>
          <w:szCs w:val="24"/>
        </w:rPr>
        <w:t xml:space="preserve">Commission </w:t>
      </w:r>
      <w:r w:rsidR="006B220F" w:rsidRPr="0095698B">
        <w:rPr>
          <w:rFonts w:ascii="Cambria" w:hAnsi="Cambria"/>
          <w:sz w:val="24"/>
          <w:szCs w:val="24"/>
        </w:rPr>
        <w:t xml:space="preserve">focus </w:t>
      </w:r>
      <w:r w:rsidR="00762C95" w:rsidRPr="0095698B">
        <w:rPr>
          <w:rFonts w:ascii="Cambria" w:hAnsi="Cambria"/>
          <w:sz w:val="24"/>
          <w:szCs w:val="24"/>
        </w:rPr>
        <w:t>on policy</w:t>
      </w:r>
      <w:r w:rsidR="006B220F" w:rsidRPr="0095698B">
        <w:rPr>
          <w:rFonts w:ascii="Cambria" w:hAnsi="Cambria"/>
          <w:sz w:val="24"/>
          <w:szCs w:val="24"/>
        </w:rPr>
        <w:t xml:space="preserve"> </w:t>
      </w:r>
      <w:r w:rsidR="00F66545" w:rsidRPr="0095698B">
        <w:rPr>
          <w:rFonts w:ascii="Cambria" w:hAnsi="Cambria"/>
          <w:sz w:val="24"/>
          <w:szCs w:val="24"/>
        </w:rPr>
        <w:t xml:space="preserve">or systems </w:t>
      </w:r>
      <w:r w:rsidR="006B220F" w:rsidRPr="0095698B">
        <w:rPr>
          <w:rFonts w:ascii="Cambria" w:hAnsi="Cambria"/>
          <w:sz w:val="24"/>
          <w:szCs w:val="24"/>
        </w:rPr>
        <w:t>changes, practices, or p</w:t>
      </w:r>
      <w:r w:rsidR="00762C95" w:rsidRPr="0095698B">
        <w:rPr>
          <w:rFonts w:ascii="Cambria" w:hAnsi="Cambria"/>
          <w:sz w:val="24"/>
          <w:szCs w:val="24"/>
        </w:rPr>
        <w:t>rograms</w:t>
      </w:r>
      <w:r w:rsidR="006B220F" w:rsidRPr="0095698B">
        <w:rPr>
          <w:rFonts w:ascii="Cambria" w:hAnsi="Cambria"/>
          <w:sz w:val="24"/>
          <w:szCs w:val="24"/>
        </w:rPr>
        <w:t xml:space="preserve"> that will (1) pr</w:t>
      </w:r>
      <w:r w:rsidR="00762C95" w:rsidRPr="0095698B">
        <w:rPr>
          <w:rFonts w:ascii="Cambria" w:hAnsi="Cambria"/>
          <w:sz w:val="24"/>
          <w:szCs w:val="24"/>
        </w:rPr>
        <w:t xml:space="preserve">omote </w:t>
      </w:r>
      <w:r w:rsidR="00D60C59" w:rsidRPr="0095698B">
        <w:rPr>
          <w:rFonts w:ascii="Cambria" w:hAnsi="Cambria"/>
          <w:sz w:val="24"/>
          <w:szCs w:val="24"/>
        </w:rPr>
        <w:t>social, emotion</w:t>
      </w:r>
      <w:r w:rsidR="009673BC" w:rsidRPr="0095698B">
        <w:rPr>
          <w:rFonts w:ascii="Cambria" w:hAnsi="Cambria"/>
          <w:sz w:val="24"/>
          <w:szCs w:val="24"/>
        </w:rPr>
        <w:t>al</w:t>
      </w:r>
      <w:r w:rsidR="00D60C59" w:rsidRPr="0095698B">
        <w:rPr>
          <w:rFonts w:ascii="Cambria" w:hAnsi="Cambria"/>
          <w:sz w:val="24"/>
          <w:szCs w:val="24"/>
        </w:rPr>
        <w:t xml:space="preserve">, and </w:t>
      </w:r>
      <w:r w:rsidR="00762C95" w:rsidRPr="0095698B">
        <w:rPr>
          <w:rFonts w:ascii="Cambria" w:hAnsi="Cambria"/>
          <w:sz w:val="24"/>
          <w:szCs w:val="24"/>
        </w:rPr>
        <w:t>behavio</w:t>
      </w:r>
      <w:r w:rsidR="005E19F6" w:rsidRPr="0095698B">
        <w:rPr>
          <w:rFonts w:ascii="Cambria" w:hAnsi="Cambria"/>
          <w:sz w:val="24"/>
          <w:szCs w:val="24"/>
        </w:rPr>
        <w:t xml:space="preserve">ral health and prevent behavioral health </w:t>
      </w:r>
      <w:r w:rsidR="00D60C59" w:rsidRPr="0095698B">
        <w:rPr>
          <w:rFonts w:ascii="Cambria" w:hAnsi="Cambria"/>
          <w:sz w:val="24"/>
          <w:szCs w:val="24"/>
        </w:rPr>
        <w:t>problems</w:t>
      </w:r>
      <w:r w:rsidR="009673BC" w:rsidRPr="0095698B">
        <w:rPr>
          <w:rFonts w:ascii="Cambria" w:hAnsi="Cambria"/>
          <w:sz w:val="24"/>
          <w:szCs w:val="24"/>
        </w:rPr>
        <w:t xml:space="preserve"> among youth, ages 0-2</w:t>
      </w:r>
      <w:r w:rsidR="00414E00" w:rsidRPr="0095698B">
        <w:rPr>
          <w:rFonts w:ascii="Cambria" w:hAnsi="Cambria"/>
          <w:sz w:val="24"/>
          <w:szCs w:val="24"/>
        </w:rPr>
        <w:t>2</w:t>
      </w:r>
      <w:r w:rsidR="006B220F" w:rsidRPr="0095698B">
        <w:rPr>
          <w:rFonts w:ascii="Cambria" w:hAnsi="Cambria"/>
          <w:sz w:val="24"/>
          <w:szCs w:val="24"/>
        </w:rPr>
        <w:t>;</w:t>
      </w:r>
      <w:r w:rsidR="009673BC" w:rsidRPr="0095698B">
        <w:rPr>
          <w:rFonts w:ascii="Cambria" w:hAnsi="Cambria"/>
          <w:sz w:val="24"/>
          <w:szCs w:val="24"/>
        </w:rPr>
        <w:t xml:space="preserve"> or</w:t>
      </w:r>
      <w:r w:rsidR="006B220F" w:rsidRPr="0095698B">
        <w:rPr>
          <w:rFonts w:ascii="Cambria" w:hAnsi="Cambria"/>
          <w:sz w:val="24"/>
          <w:szCs w:val="24"/>
        </w:rPr>
        <w:t xml:space="preserve"> (2) t</w:t>
      </w:r>
      <w:r w:rsidR="00762C95" w:rsidRPr="0095698B">
        <w:rPr>
          <w:rFonts w:ascii="Cambria" w:hAnsi="Cambria"/>
          <w:sz w:val="24"/>
          <w:szCs w:val="24"/>
        </w:rPr>
        <w:t xml:space="preserve">arget </w:t>
      </w:r>
      <w:r w:rsidR="009673BC" w:rsidRPr="0095698B">
        <w:rPr>
          <w:rFonts w:ascii="Cambria" w:hAnsi="Cambria"/>
          <w:sz w:val="24"/>
          <w:szCs w:val="24"/>
        </w:rPr>
        <w:t xml:space="preserve">those </w:t>
      </w:r>
      <w:r w:rsidR="00762C95" w:rsidRPr="0095698B">
        <w:rPr>
          <w:rFonts w:ascii="Cambria" w:hAnsi="Cambria"/>
          <w:sz w:val="24"/>
          <w:szCs w:val="24"/>
        </w:rPr>
        <w:t xml:space="preserve">parents, </w:t>
      </w:r>
      <w:r w:rsidR="009673BC" w:rsidRPr="0095698B">
        <w:rPr>
          <w:rFonts w:ascii="Cambria" w:hAnsi="Cambria"/>
          <w:sz w:val="24"/>
          <w:szCs w:val="24"/>
        </w:rPr>
        <w:t xml:space="preserve">caregivers, </w:t>
      </w:r>
      <w:r w:rsidR="00762C95" w:rsidRPr="0095698B">
        <w:rPr>
          <w:rFonts w:ascii="Cambria" w:hAnsi="Cambria"/>
          <w:sz w:val="24"/>
          <w:szCs w:val="24"/>
        </w:rPr>
        <w:t>professionals</w:t>
      </w:r>
      <w:r w:rsidR="009673BC" w:rsidRPr="0095698B">
        <w:rPr>
          <w:rFonts w:ascii="Cambria" w:hAnsi="Cambria"/>
          <w:sz w:val="24"/>
          <w:szCs w:val="24"/>
        </w:rPr>
        <w:t xml:space="preserve">, </w:t>
      </w:r>
      <w:r w:rsidR="00891921" w:rsidRPr="0095698B">
        <w:rPr>
          <w:rFonts w:ascii="Cambria" w:hAnsi="Cambria"/>
          <w:sz w:val="24"/>
          <w:szCs w:val="24"/>
        </w:rPr>
        <w:t xml:space="preserve">schools, </w:t>
      </w:r>
      <w:r w:rsidR="009673BC" w:rsidRPr="0095698B">
        <w:rPr>
          <w:rFonts w:ascii="Cambria" w:hAnsi="Cambria"/>
          <w:sz w:val="24"/>
          <w:szCs w:val="24"/>
        </w:rPr>
        <w:t>or communities who serve said youth so th</w:t>
      </w:r>
      <w:r w:rsidR="00F76AC3">
        <w:rPr>
          <w:rFonts w:ascii="Cambria" w:hAnsi="Cambria"/>
          <w:sz w:val="24"/>
          <w:szCs w:val="24"/>
        </w:rPr>
        <w:t>ose servants</w:t>
      </w:r>
      <w:r w:rsidR="009673BC" w:rsidRPr="0095698B">
        <w:rPr>
          <w:rFonts w:ascii="Cambria" w:hAnsi="Cambria"/>
          <w:sz w:val="24"/>
          <w:szCs w:val="24"/>
        </w:rPr>
        <w:t xml:space="preserve"> may work to promote behavioral health, prevent disorders, or </w:t>
      </w:r>
      <w:r w:rsidR="00F66545" w:rsidRPr="0095698B">
        <w:rPr>
          <w:rFonts w:ascii="Cambria" w:hAnsi="Cambria"/>
          <w:sz w:val="24"/>
          <w:szCs w:val="24"/>
        </w:rPr>
        <w:t xml:space="preserve">intervene early when </w:t>
      </w:r>
      <w:r w:rsidR="006B4CE2" w:rsidRPr="0095698B">
        <w:rPr>
          <w:rFonts w:ascii="Cambria" w:hAnsi="Cambria"/>
          <w:sz w:val="24"/>
          <w:szCs w:val="24"/>
        </w:rPr>
        <w:t xml:space="preserve">elevated risks associated with the onset of mental, emotional, or behavioral disorders are exhibited.  </w:t>
      </w:r>
    </w:p>
    <w:p w:rsidR="0095698B" w:rsidRPr="0095698B" w:rsidRDefault="0095698B" w:rsidP="0095698B">
      <w:pPr>
        <w:pStyle w:val="xmsonormal"/>
        <w:rPr>
          <w:rFonts w:ascii="Cambria" w:hAnsi="Cambria"/>
          <w:bCs/>
          <w:i/>
          <w:sz w:val="24"/>
          <w:szCs w:val="24"/>
        </w:rPr>
      </w:pPr>
      <w:r w:rsidRPr="0095698B">
        <w:rPr>
          <w:rFonts w:ascii="Cambria" w:hAnsi="Cambria"/>
          <w:b/>
          <w:bCs/>
          <w:i/>
          <w:sz w:val="24"/>
          <w:szCs w:val="24"/>
        </w:rPr>
        <w:t>RATIONALE</w:t>
      </w:r>
      <w:r w:rsidRPr="0095698B">
        <w:rPr>
          <w:rFonts w:ascii="Cambria" w:hAnsi="Cambria"/>
          <w:bCs/>
          <w:i/>
          <w:sz w:val="24"/>
          <w:szCs w:val="24"/>
        </w:rPr>
        <w:t xml:space="preserve">: The </w:t>
      </w:r>
      <w:r w:rsidR="00F76AC3">
        <w:rPr>
          <w:rFonts w:ascii="Cambria" w:hAnsi="Cambria"/>
          <w:bCs/>
          <w:i/>
          <w:sz w:val="24"/>
          <w:szCs w:val="24"/>
        </w:rPr>
        <w:t xml:space="preserve">primary </w:t>
      </w:r>
      <w:r w:rsidRPr="0095698B">
        <w:rPr>
          <w:rFonts w:ascii="Cambria" w:hAnsi="Cambria"/>
          <w:bCs/>
          <w:i/>
          <w:sz w:val="24"/>
          <w:szCs w:val="24"/>
        </w:rPr>
        <w:t>priority from citizen and expert testifiers in public hearings has been on youth-focused prevention. Youth prevention and promotion programs and policies have the greatest potential for impact and funding. For example, programs like the 1</w:t>
      </w:r>
      <w:r w:rsidRPr="0095698B">
        <w:rPr>
          <w:rFonts w:ascii="Cambria" w:hAnsi="Cambria"/>
          <w:bCs/>
          <w:i/>
          <w:sz w:val="24"/>
          <w:szCs w:val="24"/>
          <w:vertAlign w:val="superscript"/>
        </w:rPr>
        <w:t>st</w:t>
      </w:r>
      <w:r w:rsidRPr="0095698B">
        <w:rPr>
          <w:rFonts w:ascii="Cambria" w:hAnsi="Cambria"/>
          <w:bCs/>
          <w:i/>
          <w:sz w:val="24"/>
          <w:szCs w:val="24"/>
        </w:rPr>
        <w:t xml:space="preserve"> Grade Good Behavior Game can have sustained measurable effects into adulthood </w:t>
      </w:r>
      <w:r w:rsidR="0087495F">
        <w:rPr>
          <w:rFonts w:ascii="Cambria" w:hAnsi="Cambria"/>
          <w:bCs/>
          <w:i/>
          <w:sz w:val="24"/>
          <w:szCs w:val="24"/>
        </w:rPr>
        <w:t>on</w:t>
      </w:r>
      <w:r w:rsidRPr="0095698B">
        <w:rPr>
          <w:rFonts w:ascii="Cambria" w:hAnsi="Cambria"/>
          <w:bCs/>
          <w:i/>
          <w:sz w:val="24"/>
          <w:szCs w:val="24"/>
        </w:rPr>
        <w:t xml:space="preserve"> a ra</w:t>
      </w:r>
      <w:r w:rsidR="0087495F">
        <w:rPr>
          <w:rFonts w:ascii="Cambria" w:hAnsi="Cambria"/>
          <w:bCs/>
          <w:i/>
          <w:sz w:val="24"/>
          <w:szCs w:val="24"/>
        </w:rPr>
        <w:t>nge of behavioral health issues for participants regardless of their economic or social background.</w:t>
      </w:r>
      <w:r w:rsidRPr="0095698B">
        <w:rPr>
          <w:rFonts w:ascii="Cambria" w:hAnsi="Cambria"/>
          <w:bCs/>
          <w:i/>
          <w:sz w:val="24"/>
          <w:szCs w:val="24"/>
        </w:rPr>
        <w:t xml:space="preserve"> The group discussion on this topic has largely settled on the side of focusing on youth. Failing to narrow our scope has the potential</w:t>
      </w:r>
      <w:r w:rsidR="0087495F">
        <w:rPr>
          <w:rFonts w:ascii="Cambria" w:hAnsi="Cambria"/>
          <w:bCs/>
          <w:i/>
          <w:sz w:val="24"/>
          <w:szCs w:val="24"/>
        </w:rPr>
        <w:t xml:space="preserve"> to overwhelm our deliberations, report, and capacity for change.</w:t>
      </w:r>
      <w:r w:rsidRPr="0095698B">
        <w:rPr>
          <w:rFonts w:ascii="Cambria" w:hAnsi="Cambria"/>
          <w:bCs/>
          <w:i/>
          <w:sz w:val="24"/>
          <w:szCs w:val="24"/>
        </w:rPr>
        <w:t xml:space="preserve"> </w:t>
      </w:r>
    </w:p>
    <w:p w:rsidR="0095698B" w:rsidRPr="0095698B" w:rsidRDefault="0095698B" w:rsidP="00FA2DFA">
      <w:pPr>
        <w:spacing w:line="240" w:lineRule="auto"/>
        <w:rPr>
          <w:rFonts w:ascii="Cambria" w:hAnsi="Cambria"/>
          <w:sz w:val="24"/>
          <w:szCs w:val="24"/>
        </w:rPr>
      </w:pPr>
    </w:p>
    <w:p w:rsidR="00FA2DFA" w:rsidRPr="0095698B" w:rsidRDefault="00FA2DFA" w:rsidP="006B4CE2">
      <w:pPr>
        <w:spacing w:after="0"/>
        <w:rPr>
          <w:rFonts w:ascii="Cambria" w:hAnsi="Cambria"/>
          <w:sz w:val="24"/>
          <w:szCs w:val="24"/>
        </w:rPr>
      </w:pPr>
    </w:p>
    <w:p w:rsidR="006B220F" w:rsidRPr="0095698B" w:rsidRDefault="001C19DA" w:rsidP="006B4CE2">
      <w:pPr>
        <w:spacing w:after="0"/>
        <w:rPr>
          <w:rFonts w:ascii="Cambria" w:hAnsi="Cambria"/>
          <w:b/>
          <w:sz w:val="28"/>
          <w:szCs w:val="28"/>
          <w:u w:val="single"/>
        </w:rPr>
      </w:pPr>
      <w:r w:rsidRPr="0095698B">
        <w:rPr>
          <w:rFonts w:ascii="Cambria" w:hAnsi="Cambria"/>
          <w:b/>
          <w:sz w:val="28"/>
          <w:szCs w:val="28"/>
          <w:u w:val="single"/>
        </w:rPr>
        <w:t xml:space="preserve">MOTION </w:t>
      </w:r>
      <w:r w:rsidR="00FA2DFA" w:rsidRPr="0095698B">
        <w:rPr>
          <w:rFonts w:ascii="Cambria" w:hAnsi="Cambria"/>
          <w:b/>
          <w:sz w:val="28"/>
          <w:szCs w:val="28"/>
          <w:u w:val="single"/>
        </w:rPr>
        <w:t>4</w:t>
      </w:r>
      <w:r w:rsidRPr="0095698B">
        <w:rPr>
          <w:rFonts w:ascii="Cambria" w:hAnsi="Cambria"/>
          <w:b/>
          <w:sz w:val="28"/>
          <w:szCs w:val="28"/>
          <w:u w:val="single"/>
        </w:rPr>
        <w:t xml:space="preserve">: </w:t>
      </w:r>
      <w:r w:rsidR="00601F43">
        <w:rPr>
          <w:rFonts w:ascii="Cambria" w:hAnsi="Cambria"/>
          <w:b/>
          <w:sz w:val="28"/>
          <w:szCs w:val="28"/>
          <w:u w:val="single"/>
        </w:rPr>
        <w:t>FOCUS</w:t>
      </w:r>
      <w:r w:rsidR="0032432D">
        <w:rPr>
          <w:rFonts w:ascii="Cambria" w:hAnsi="Cambria"/>
          <w:b/>
          <w:sz w:val="28"/>
          <w:szCs w:val="28"/>
          <w:u w:val="single"/>
        </w:rPr>
        <w:t>ING</w:t>
      </w:r>
      <w:r w:rsidR="00601F43">
        <w:rPr>
          <w:rFonts w:ascii="Cambria" w:hAnsi="Cambria"/>
          <w:b/>
          <w:sz w:val="28"/>
          <w:szCs w:val="28"/>
          <w:u w:val="single"/>
        </w:rPr>
        <w:t xml:space="preserve"> DIRECTLY ON BH PROMOTION AND PREVENTION</w:t>
      </w:r>
    </w:p>
    <w:p w:rsidR="00375AF1" w:rsidRPr="0095698B" w:rsidRDefault="00601F43" w:rsidP="006B4CE2">
      <w:pPr>
        <w:spacing w:line="240" w:lineRule="auto"/>
        <w:rPr>
          <w:rFonts w:ascii="Cambria" w:hAnsi="Cambria"/>
          <w:sz w:val="24"/>
          <w:szCs w:val="24"/>
        </w:rPr>
      </w:pPr>
      <w:r>
        <w:rPr>
          <w:rFonts w:ascii="Cambria" w:hAnsi="Cambria"/>
          <w:sz w:val="24"/>
          <w:szCs w:val="24"/>
        </w:rPr>
        <w:t xml:space="preserve">Reps. Cantwell and </w:t>
      </w:r>
      <w:r w:rsidRPr="0095698B">
        <w:rPr>
          <w:rFonts w:ascii="Cambria" w:hAnsi="Cambria"/>
          <w:sz w:val="24"/>
          <w:szCs w:val="24"/>
        </w:rPr>
        <w:t>Ferguson</w:t>
      </w:r>
      <w:r>
        <w:rPr>
          <w:rFonts w:ascii="Cambria" w:hAnsi="Cambria"/>
          <w:sz w:val="24"/>
          <w:szCs w:val="24"/>
        </w:rPr>
        <w:t xml:space="preserve"> and Senator O’Connor</w:t>
      </w:r>
      <w:r w:rsidRPr="0095698B">
        <w:rPr>
          <w:rFonts w:ascii="Cambria" w:hAnsi="Cambria"/>
          <w:sz w:val="24"/>
          <w:szCs w:val="24"/>
        </w:rPr>
        <w:t xml:space="preserve"> </w:t>
      </w:r>
      <w:r w:rsidR="00375AF1" w:rsidRPr="0095698B">
        <w:rPr>
          <w:rFonts w:ascii="Cambria" w:hAnsi="Cambria"/>
          <w:sz w:val="24"/>
          <w:szCs w:val="24"/>
        </w:rPr>
        <w:t>move</w:t>
      </w:r>
      <w:r w:rsidR="006B220F" w:rsidRPr="0095698B">
        <w:rPr>
          <w:rFonts w:ascii="Cambria" w:hAnsi="Cambria"/>
          <w:sz w:val="24"/>
          <w:szCs w:val="24"/>
        </w:rPr>
        <w:t xml:space="preserve"> that the Commission target policie</w:t>
      </w:r>
      <w:r w:rsidR="005879CD" w:rsidRPr="0095698B">
        <w:rPr>
          <w:rFonts w:ascii="Cambria" w:hAnsi="Cambria"/>
          <w:sz w:val="24"/>
          <w:szCs w:val="24"/>
        </w:rPr>
        <w:t>s, programs, and practices that</w:t>
      </w:r>
      <w:r w:rsidR="00F66545" w:rsidRPr="0095698B">
        <w:rPr>
          <w:rFonts w:ascii="Cambria" w:hAnsi="Cambria"/>
          <w:sz w:val="24"/>
          <w:szCs w:val="24"/>
        </w:rPr>
        <w:t xml:space="preserve"> </w:t>
      </w:r>
      <w:r w:rsidR="005879CD" w:rsidRPr="0095698B">
        <w:rPr>
          <w:rFonts w:ascii="Cambria" w:hAnsi="Cambria"/>
          <w:sz w:val="24"/>
          <w:szCs w:val="24"/>
        </w:rPr>
        <w:t xml:space="preserve">directly </w:t>
      </w:r>
      <w:r w:rsidR="001C19DA" w:rsidRPr="0095698B">
        <w:rPr>
          <w:rFonts w:ascii="Cambria" w:hAnsi="Cambria"/>
          <w:sz w:val="24"/>
          <w:szCs w:val="24"/>
        </w:rPr>
        <w:t xml:space="preserve">promote behavioral health, </w:t>
      </w:r>
      <w:r w:rsidR="006B220F" w:rsidRPr="0095698B">
        <w:rPr>
          <w:rFonts w:ascii="Cambria" w:hAnsi="Cambria"/>
          <w:sz w:val="24"/>
          <w:szCs w:val="24"/>
        </w:rPr>
        <w:t>prev</w:t>
      </w:r>
      <w:r w:rsidR="001C19DA" w:rsidRPr="0095698B">
        <w:rPr>
          <w:rFonts w:ascii="Cambria" w:hAnsi="Cambria"/>
          <w:sz w:val="24"/>
          <w:szCs w:val="24"/>
        </w:rPr>
        <w:t xml:space="preserve">ent diagnosable disorders, or support appropriate early intervention </w:t>
      </w:r>
      <w:r w:rsidR="00D60C59" w:rsidRPr="0095698B">
        <w:rPr>
          <w:rFonts w:ascii="Cambria" w:hAnsi="Cambria"/>
          <w:sz w:val="24"/>
          <w:szCs w:val="24"/>
        </w:rPr>
        <w:t xml:space="preserve">behavioral health </w:t>
      </w:r>
      <w:r w:rsidR="001C19DA" w:rsidRPr="0095698B">
        <w:rPr>
          <w:rFonts w:ascii="Cambria" w:hAnsi="Cambria"/>
          <w:sz w:val="24"/>
          <w:szCs w:val="24"/>
        </w:rPr>
        <w:t xml:space="preserve">services for those at-risk of </w:t>
      </w:r>
      <w:r w:rsidR="00D60C59" w:rsidRPr="0095698B">
        <w:rPr>
          <w:rFonts w:ascii="Cambria" w:hAnsi="Cambria"/>
          <w:sz w:val="24"/>
          <w:szCs w:val="24"/>
        </w:rPr>
        <w:t xml:space="preserve">developing </w:t>
      </w:r>
      <w:r w:rsidR="001C19DA" w:rsidRPr="0095698B">
        <w:rPr>
          <w:rFonts w:ascii="Cambria" w:hAnsi="Cambria"/>
          <w:sz w:val="24"/>
          <w:szCs w:val="24"/>
        </w:rPr>
        <w:t>disorders or</w:t>
      </w:r>
      <w:r w:rsidR="005E19F6" w:rsidRPr="0095698B">
        <w:rPr>
          <w:rFonts w:ascii="Cambria" w:hAnsi="Cambria"/>
          <w:sz w:val="24"/>
          <w:szCs w:val="24"/>
        </w:rPr>
        <w:t xml:space="preserve"> </w:t>
      </w:r>
      <w:r w:rsidR="00D60C59" w:rsidRPr="0095698B">
        <w:rPr>
          <w:rFonts w:ascii="Cambria" w:hAnsi="Cambria"/>
          <w:sz w:val="24"/>
          <w:szCs w:val="24"/>
        </w:rPr>
        <w:t>problems</w:t>
      </w:r>
      <w:r w:rsidR="005E19F6" w:rsidRPr="0095698B">
        <w:rPr>
          <w:rFonts w:ascii="Cambria" w:hAnsi="Cambria"/>
          <w:sz w:val="24"/>
          <w:szCs w:val="24"/>
        </w:rPr>
        <w:t xml:space="preserve">; and further, </w:t>
      </w:r>
      <w:r w:rsidR="0087495F">
        <w:rPr>
          <w:rFonts w:ascii="Cambria" w:hAnsi="Cambria"/>
          <w:sz w:val="24"/>
          <w:szCs w:val="24"/>
        </w:rPr>
        <w:t xml:space="preserve">though recognizing the importance of the full continuum of care, that </w:t>
      </w:r>
      <w:r w:rsidR="005E19F6" w:rsidRPr="0095698B">
        <w:rPr>
          <w:rFonts w:ascii="Cambria" w:hAnsi="Cambria"/>
          <w:sz w:val="24"/>
          <w:szCs w:val="24"/>
        </w:rPr>
        <w:t>the Commission</w:t>
      </w:r>
      <w:r w:rsidR="001C19DA" w:rsidRPr="0095698B">
        <w:rPr>
          <w:rFonts w:ascii="Cambria" w:hAnsi="Cambria"/>
          <w:sz w:val="24"/>
          <w:szCs w:val="24"/>
        </w:rPr>
        <w:t xml:space="preserve"> </w:t>
      </w:r>
      <w:r w:rsidR="001C19DA" w:rsidRPr="0095698B">
        <w:rPr>
          <w:rFonts w:ascii="Cambria" w:hAnsi="Cambria"/>
          <w:b/>
          <w:sz w:val="24"/>
          <w:szCs w:val="24"/>
        </w:rPr>
        <w:t>not</w:t>
      </w:r>
      <w:r w:rsidR="005E19F6" w:rsidRPr="0095698B">
        <w:rPr>
          <w:rFonts w:ascii="Cambria" w:hAnsi="Cambria"/>
          <w:sz w:val="24"/>
          <w:szCs w:val="24"/>
        </w:rPr>
        <w:t xml:space="preserve"> </w:t>
      </w:r>
      <w:r w:rsidR="009673BC" w:rsidRPr="0095698B">
        <w:rPr>
          <w:rFonts w:ascii="Cambria" w:hAnsi="Cambria"/>
          <w:sz w:val="24"/>
          <w:szCs w:val="24"/>
        </w:rPr>
        <w:t>pursue</w:t>
      </w:r>
      <w:r w:rsidR="005E19F6" w:rsidRPr="0095698B">
        <w:rPr>
          <w:rFonts w:ascii="Cambria" w:hAnsi="Cambria"/>
          <w:sz w:val="24"/>
          <w:szCs w:val="24"/>
        </w:rPr>
        <w:t xml:space="preserve"> recommendations to (1) improve the </w:t>
      </w:r>
      <w:r w:rsidR="001C19DA" w:rsidRPr="0095698B">
        <w:rPr>
          <w:rFonts w:ascii="Cambria" w:hAnsi="Cambria"/>
          <w:sz w:val="24"/>
          <w:szCs w:val="24"/>
        </w:rPr>
        <w:t>recovery</w:t>
      </w:r>
      <w:r w:rsidR="009673BC" w:rsidRPr="0095698B">
        <w:rPr>
          <w:rFonts w:ascii="Cambria" w:hAnsi="Cambria"/>
          <w:sz w:val="24"/>
          <w:szCs w:val="24"/>
        </w:rPr>
        <w:t>, acute treatment, or general social service support</w:t>
      </w:r>
      <w:r w:rsidR="001C19DA" w:rsidRPr="0095698B">
        <w:rPr>
          <w:rFonts w:ascii="Cambria" w:hAnsi="Cambria"/>
          <w:sz w:val="24"/>
          <w:szCs w:val="24"/>
        </w:rPr>
        <w:t xml:space="preserve"> systems </w:t>
      </w:r>
      <w:r w:rsidR="005E19F6" w:rsidRPr="0095698B">
        <w:rPr>
          <w:rFonts w:ascii="Cambria" w:hAnsi="Cambria"/>
          <w:sz w:val="24"/>
          <w:szCs w:val="24"/>
        </w:rPr>
        <w:t>for</w:t>
      </w:r>
      <w:r w:rsidR="009673BC" w:rsidRPr="0095698B">
        <w:rPr>
          <w:rFonts w:ascii="Cambria" w:hAnsi="Cambria"/>
          <w:sz w:val="24"/>
          <w:szCs w:val="24"/>
        </w:rPr>
        <w:t xml:space="preserve"> people with</w:t>
      </w:r>
      <w:r w:rsidR="005E19F6" w:rsidRPr="0095698B">
        <w:rPr>
          <w:rFonts w:ascii="Cambria" w:hAnsi="Cambria"/>
          <w:sz w:val="24"/>
          <w:szCs w:val="24"/>
        </w:rPr>
        <w:t xml:space="preserve"> diagnosed disorders</w:t>
      </w:r>
      <w:r w:rsidR="009673BC" w:rsidRPr="0095698B">
        <w:rPr>
          <w:rFonts w:ascii="Cambria" w:hAnsi="Cambria"/>
          <w:sz w:val="24"/>
          <w:szCs w:val="24"/>
        </w:rPr>
        <w:t>;</w:t>
      </w:r>
      <w:r w:rsidR="00D60C59" w:rsidRPr="0095698B">
        <w:rPr>
          <w:rFonts w:ascii="Cambria" w:hAnsi="Cambria"/>
          <w:sz w:val="24"/>
          <w:szCs w:val="24"/>
        </w:rPr>
        <w:t xml:space="preserve"> or</w:t>
      </w:r>
      <w:r w:rsidR="005E19F6" w:rsidRPr="0095698B">
        <w:rPr>
          <w:rFonts w:ascii="Cambria" w:hAnsi="Cambria"/>
          <w:sz w:val="24"/>
          <w:szCs w:val="24"/>
        </w:rPr>
        <w:t xml:space="preserve"> (2) make other </w:t>
      </w:r>
      <w:r w:rsidR="00F66545" w:rsidRPr="0095698B">
        <w:rPr>
          <w:rFonts w:ascii="Cambria" w:hAnsi="Cambria"/>
          <w:sz w:val="24"/>
          <w:szCs w:val="24"/>
        </w:rPr>
        <w:t xml:space="preserve">general </w:t>
      </w:r>
      <w:r w:rsidR="00FA2DFA" w:rsidRPr="0095698B">
        <w:rPr>
          <w:rFonts w:ascii="Cambria" w:hAnsi="Cambria"/>
          <w:sz w:val="24"/>
          <w:szCs w:val="24"/>
        </w:rPr>
        <w:t xml:space="preserve">social </w:t>
      </w:r>
      <w:r w:rsidR="001C19DA" w:rsidRPr="0095698B">
        <w:rPr>
          <w:rFonts w:ascii="Cambria" w:hAnsi="Cambria"/>
          <w:sz w:val="24"/>
          <w:szCs w:val="24"/>
        </w:rPr>
        <w:t xml:space="preserve">policy </w:t>
      </w:r>
      <w:r w:rsidR="005E19F6" w:rsidRPr="0095698B">
        <w:rPr>
          <w:rFonts w:ascii="Cambria" w:hAnsi="Cambria"/>
          <w:sz w:val="24"/>
          <w:szCs w:val="24"/>
        </w:rPr>
        <w:t>changes</w:t>
      </w:r>
      <w:r w:rsidR="00F66545" w:rsidRPr="0095698B">
        <w:rPr>
          <w:rFonts w:ascii="Cambria" w:hAnsi="Cambria"/>
          <w:sz w:val="24"/>
          <w:szCs w:val="24"/>
        </w:rPr>
        <w:t xml:space="preserve"> not directly focused on behavioral health</w:t>
      </w:r>
      <w:r w:rsidR="001C19DA" w:rsidRPr="0095698B">
        <w:rPr>
          <w:rFonts w:ascii="Cambria" w:hAnsi="Cambria"/>
          <w:sz w:val="24"/>
          <w:szCs w:val="24"/>
        </w:rPr>
        <w:t xml:space="preserve"> which</w:t>
      </w:r>
      <w:r w:rsidR="00011ACD">
        <w:rPr>
          <w:rFonts w:ascii="Cambria" w:hAnsi="Cambria"/>
          <w:sz w:val="24"/>
          <w:szCs w:val="24"/>
        </w:rPr>
        <w:t xml:space="preserve"> exceed</w:t>
      </w:r>
      <w:r w:rsidR="005879CD" w:rsidRPr="0095698B">
        <w:rPr>
          <w:rFonts w:ascii="Cambria" w:hAnsi="Cambria"/>
          <w:sz w:val="24"/>
          <w:szCs w:val="24"/>
        </w:rPr>
        <w:t xml:space="preserve"> </w:t>
      </w:r>
      <w:r w:rsidR="001C19DA" w:rsidRPr="0095698B">
        <w:rPr>
          <w:rFonts w:ascii="Cambria" w:hAnsi="Cambria"/>
          <w:sz w:val="24"/>
          <w:szCs w:val="24"/>
        </w:rPr>
        <w:t xml:space="preserve">the </w:t>
      </w:r>
      <w:r w:rsidR="00011ACD">
        <w:rPr>
          <w:rFonts w:ascii="Cambria" w:hAnsi="Cambria"/>
          <w:sz w:val="24"/>
          <w:szCs w:val="24"/>
        </w:rPr>
        <w:t xml:space="preserve">Commission’s </w:t>
      </w:r>
      <w:r w:rsidR="00F66545" w:rsidRPr="0095698B">
        <w:rPr>
          <w:rFonts w:ascii="Cambria" w:hAnsi="Cambria"/>
          <w:sz w:val="24"/>
          <w:szCs w:val="24"/>
        </w:rPr>
        <w:t xml:space="preserve">expertise </w:t>
      </w:r>
      <w:r w:rsidR="00011ACD">
        <w:rPr>
          <w:rFonts w:ascii="Cambria" w:hAnsi="Cambria"/>
          <w:sz w:val="24"/>
          <w:szCs w:val="24"/>
        </w:rPr>
        <w:t>or l</w:t>
      </w:r>
      <w:r w:rsidR="005E19F6" w:rsidRPr="0095698B">
        <w:rPr>
          <w:rFonts w:ascii="Cambria" w:hAnsi="Cambria"/>
          <w:sz w:val="24"/>
          <w:szCs w:val="24"/>
        </w:rPr>
        <w:t>egal</w:t>
      </w:r>
      <w:r w:rsidR="00F66545" w:rsidRPr="0095698B">
        <w:rPr>
          <w:rFonts w:ascii="Cambria" w:hAnsi="Cambria"/>
          <w:sz w:val="24"/>
          <w:szCs w:val="24"/>
        </w:rPr>
        <w:t>ly</w:t>
      </w:r>
      <w:r w:rsidR="005E19F6" w:rsidRPr="0095698B">
        <w:rPr>
          <w:rFonts w:ascii="Cambria" w:hAnsi="Cambria"/>
          <w:sz w:val="24"/>
          <w:szCs w:val="24"/>
        </w:rPr>
        <w:t xml:space="preserve"> </w:t>
      </w:r>
      <w:r w:rsidR="00D60C59" w:rsidRPr="0095698B">
        <w:rPr>
          <w:rFonts w:ascii="Cambria" w:hAnsi="Cambria"/>
          <w:sz w:val="24"/>
          <w:szCs w:val="24"/>
        </w:rPr>
        <w:t>mandated scope</w:t>
      </w:r>
      <w:r w:rsidR="005E19F6" w:rsidRPr="0095698B">
        <w:rPr>
          <w:rFonts w:ascii="Cambria" w:hAnsi="Cambria"/>
          <w:sz w:val="24"/>
          <w:szCs w:val="24"/>
        </w:rPr>
        <w:t>.</w:t>
      </w:r>
    </w:p>
    <w:p w:rsidR="00C32DBC" w:rsidRDefault="0095698B" w:rsidP="0095698B">
      <w:pPr>
        <w:pStyle w:val="xmsonormal"/>
        <w:rPr>
          <w:rFonts w:ascii="Cambria" w:hAnsi="Cambria"/>
          <w:bCs/>
          <w:i/>
          <w:sz w:val="24"/>
          <w:szCs w:val="24"/>
        </w:rPr>
      </w:pPr>
      <w:r w:rsidRPr="0095698B">
        <w:rPr>
          <w:rFonts w:ascii="Cambria" w:hAnsi="Cambria"/>
          <w:b/>
          <w:bCs/>
          <w:i/>
          <w:sz w:val="24"/>
          <w:szCs w:val="24"/>
        </w:rPr>
        <w:t>RATIONALE</w:t>
      </w:r>
      <w:r w:rsidRPr="0095698B">
        <w:rPr>
          <w:rFonts w:ascii="Cambria" w:hAnsi="Cambria"/>
          <w:bCs/>
          <w:i/>
          <w:sz w:val="24"/>
          <w:szCs w:val="24"/>
        </w:rPr>
        <w:t xml:space="preserve">: </w:t>
      </w:r>
      <w:r>
        <w:rPr>
          <w:rFonts w:ascii="Cambria" w:hAnsi="Cambria"/>
          <w:bCs/>
          <w:i/>
          <w:sz w:val="24"/>
          <w:szCs w:val="24"/>
        </w:rPr>
        <w:t>T</w:t>
      </w:r>
      <w:r w:rsidRPr="0095698B">
        <w:rPr>
          <w:rFonts w:ascii="Cambria" w:hAnsi="Cambria"/>
          <w:bCs/>
          <w:i/>
          <w:sz w:val="24"/>
          <w:szCs w:val="24"/>
        </w:rPr>
        <w:t>he mission of the Commission</w:t>
      </w:r>
      <w:r>
        <w:rPr>
          <w:rFonts w:ascii="Cambria" w:hAnsi="Cambria"/>
          <w:bCs/>
          <w:i/>
          <w:sz w:val="24"/>
          <w:szCs w:val="24"/>
        </w:rPr>
        <w:t>,</w:t>
      </w:r>
      <w:r w:rsidRPr="0095698B">
        <w:rPr>
          <w:rFonts w:ascii="Cambria" w:hAnsi="Cambria"/>
          <w:bCs/>
          <w:i/>
          <w:sz w:val="24"/>
          <w:szCs w:val="24"/>
        </w:rPr>
        <w:t xml:space="preserve"> as detailed in the enacting legislation</w:t>
      </w:r>
      <w:r>
        <w:rPr>
          <w:rFonts w:ascii="Cambria" w:hAnsi="Cambria"/>
          <w:bCs/>
          <w:i/>
          <w:sz w:val="24"/>
          <w:szCs w:val="24"/>
        </w:rPr>
        <w:t>,</w:t>
      </w:r>
      <w:r w:rsidRPr="0095698B">
        <w:rPr>
          <w:rFonts w:ascii="Cambria" w:hAnsi="Cambria"/>
          <w:bCs/>
          <w:i/>
          <w:sz w:val="24"/>
          <w:szCs w:val="24"/>
        </w:rPr>
        <w:t xml:space="preserve"> is to focus on behavioral health. The Commission does not have the in-house expertise or time to hear testimony on, understand, and make expert recommendations about how to change broader social policy. Moreover, wading into the debate around</w:t>
      </w:r>
      <w:r w:rsidR="0036541F">
        <w:rPr>
          <w:rFonts w:ascii="Cambria" w:hAnsi="Cambria"/>
          <w:bCs/>
          <w:i/>
          <w:sz w:val="24"/>
          <w:szCs w:val="24"/>
        </w:rPr>
        <w:t>,</w:t>
      </w:r>
      <w:r w:rsidRPr="0095698B">
        <w:rPr>
          <w:rFonts w:ascii="Cambria" w:hAnsi="Cambria"/>
          <w:bCs/>
          <w:i/>
          <w:sz w:val="24"/>
          <w:szCs w:val="24"/>
        </w:rPr>
        <w:t xml:space="preserve"> for example</w:t>
      </w:r>
      <w:r w:rsidR="0036541F">
        <w:rPr>
          <w:rFonts w:ascii="Cambria" w:hAnsi="Cambria"/>
          <w:bCs/>
          <w:i/>
          <w:sz w:val="24"/>
          <w:szCs w:val="24"/>
        </w:rPr>
        <w:t>,</w:t>
      </w:r>
      <w:r w:rsidR="00F76AC3">
        <w:rPr>
          <w:rFonts w:ascii="Cambria" w:hAnsi="Cambria"/>
          <w:bCs/>
          <w:i/>
          <w:sz w:val="24"/>
          <w:szCs w:val="24"/>
        </w:rPr>
        <w:t xml:space="preserve"> </w:t>
      </w:r>
      <w:r w:rsidRPr="0095698B">
        <w:rPr>
          <w:rFonts w:ascii="Cambria" w:hAnsi="Cambria"/>
          <w:bCs/>
          <w:i/>
          <w:sz w:val="24"/>
          <w:szCs w:val="24"/>
        </w:rPr>
        <w:t>wage or housing</w:t>
      </w:r>
      <w:r w:rsidR="00F76AC3">
        <w:rPr>
          <w:rFonts w:ascii="Cambria" w:hAnsi="Cambria"/>
          <w:bCs/>
          <w:i/>
          <w:sz w:val="24"/>
          <w:szCs w:val="24"/>
        </w:rPr>
        <w:t xml:space="preserve"> issues (laudable initiatives)</w:t>
      </w:r>
      <w:r w:rsidRPr="0095698B">
        <w:rPr>
          <w:rFonts w:ascii="Cambria" w:hAnsi="Cambria"/>
          <w:bCs/>
          <w:i/>
          <w:sz w:val="24"/>
          <w:szCs w:val="24"/>
        </w:rPr>
        <w:t xml:space="preserve"> stands to </w:t>
      </w:r>
      <w:r w:rsidR="0087495F">
        <w:rPr>
          <w:rFonts w:ascii="Cambria" w:hAnsi="Cambria"/>
          <w:bCs/>
          <w:i/>
          <w:sz w:val="24"/>
          <w:szCs w:val="24"/>
        </w:rPr>
        <w:t xml:space="preserve">1) </w:t>
      </w:r>
      <w:r w:rsidRPr="0095698B">
        <w:rPr>
          <w:rFonts w:ascii="Cambria" w:hAnsi="Cambria"/>
          <w:bCs/>
          <w:i/>
          <w:sz w:val="24"/>
          <w:szCs w:val="24"/>
        </w:rPr>
        <w:t>expend our limited capital to create change</w:t>
      </w:r>
      <w:r>
        <w:rPr>
          <w:rFonts w:ascii="Cambria" w:hAnsi="Cambria"/>
          <w:bCs/>
          <w:i/>
          <w:sz w:val="24"/>
          <w:szCs w:val="24"/>
        </w:rPr>
        <w:t xml:space="preserve"> and</w:t>
      </w:r>
      <w:r w:rsidR="0087495F">
        <w:rPr>
          <w:rFonts w:ascii="Cambria" w:hAnsi="Cambria"/>
          <w:bCs/>
          <w:i/>
          <w:sz w:val="24"/>
          <w:szCs w:val="24"/>
        </w:rPr>
        <w:t xml:space="preserve"> 2)</w:t>
      </w:r>
      <w:r>
        <w:rPr>
          <w:rFonts w:ascii="Cambria" w:hAnsi="Cambria"/>
          <w:bCs/>
          <w:i/>
          <w:sz w:val="24"/>
          <w:szCs w:val="24"/>
        </w:rPr>
        <w:t xml:space="preserve"> </w:t>
      </w:r>
      <w:r w:rsidR="00361EBF">
        <w:rPr>
          <w:rFonts w:ascii="Cambria" w:hAnsi="Cambria"/>
          <w:bCs/>
          <w:i/>
          <w:sz w:val="24"/>
          <w:szCs w:val="24"/>
        </w:rPr>
        <w:t xml:space="preserve">to </w:t>
      </w:r>
      <w:r>
        <w:rPr>
          <w:rFonts w:ascii="Cambria" w:hAnsi="Cambria"/>
          <w:bCs/>
          <w:i/>
          <w:sz w:val="24"/>
          <w:szCs w:val="24"/>
        </w:rPr>
        <w:t>ignore our</w:t>
      </w:r>
      <w:r w:rsidR="0087495F">
        <w:rPr>
          <w:rFonts w:ascii="Cambria" w:hAnsi="Cambria"/>
          <w:bCs/>
          <w:i/>
          <w:sz w:val="24"/>
          <w:szCs w:val="24"/>
        </w:rPr>
        <w:t xml:space="preserve"> central</w:t>
      </w:r>
      <w:r>
        <w:rPr>
          <w:rFonts w:ascii="Cambria" w:hAnsi="Cambria"/>
          <w:bCs/>
          <w:i/>
          <w:sz w:val="24"/>
          <w:szCs w:val="24"/>
        </w:rPr>
        <w:t xml:space="preserve"> behavioral health focus. Other </w:t>
      </w:r>
      <w:r w:rsidRPr="0095698B">
        <w:rPr>
          <w:rFonts w:ascii="Cambria" w:hAnsi="Cambria"/>
          <w:bCs/>
          <w:i/>
          <w:sz w:val="24"/>
          <w:szCs w:val="24"/>
        </w:rPr>
        <w:t>organizations and advocates</w:t>
      </w:r>
      <w:r>
        <w:rPr>
          <w:rFonts w:ascii="Cambria" w:hAnsi="Cambria"/>
          <w:bCs/>
          <w:i/>
          <w:sz w:val="24"/>
          <w:szCs w:val="24"/>
        </w:rPr>
        <w:t xml:space="preserve"> on both sides of social policy debates</w:t>
      </w:r>
      <w:r w:rsidRPr="0095698B">
        <w:rPr>
          <w:rFonts w:ascii="Cambria" w:hAnsi="Cambria"/>
          <w:bCs/>
          <w:i/>
          <w:sz w:val="24"/>
          <w:szCs w:val="24"/>
        </w:rPr>
        <w:t xml:space="preserve"> will no doubt expend enormous r</w:t>
      </w:r>
      <w:r>
        <w:rPr>
          <w:rFonts w:ascii="Cambria" w:hAnsi="Cambria"/>
          <w:bCs/>
          <w:i/>
          <w:sz w:val="24"/>
          <w:szCs w:val="24"/>
        </w:rPr>
        <w:t>esources to addres</w:t>
      </w:r>
      <w:r w:rsidR="006903B9">
        <w:rPr>
          <w:rFonts w:ascii="Cambria" w:hAnsi="Cambria"/>
          <w:bCs/>
          <w:i/>
          <w:sz w:val="24"/>
          <w:szCs w:val="24"/>
        </w:rPr>
        <w:t xml:space="preserve">s and advocate for these topics—we would be </w:t>
      </w:r>
      <w:r w:rsidR="0087495F">
        <w:rPr>
          <w:rFonts w:ascii="Cambria" w:hAnsi="Cambria"/>
          <w:bCs/>
          <w:i/>
          <w:sz w:val="24"/>
          <w:szCs w:val="24"/>
        </w:rPr>
        <w:t>expending our</w:t>
      </w:r>
      <w:r w:rsidR="00011ACD">
        <w:rPr>
          <w:rFonts w:ascii="Cambria" w:hAnsi="Cambria"/>
          <w:bCs/>
          <w:i/>
          <w:sz w:val="24"/>
          <w:szCs w:val="24"/>
        </w:rPr>
        <w:t xml:space="preserve"> limited</w:t>
      </w:r>
      <w:r w:rsidR="0036541F">
        <w:rPr>
          <w:rFonts w:ascii="Cambria" w:hAnsi="Cambria"/>
          <w:bCs/>
          <w:i/>
          <w:sz w:val="24"/>
          <w:szCs w:val="24"/>
        </w:rPr>
        <w:t xml:space="preserve"> </w:t>
      </w:r>
      <w:r w:rsidR="00011ACD">
        <w:rPr>
          <w:rFonts w:ascii="Cambria" w:hAnsi="Cambria"/>
          <w:bCs/>
          <w:i/>
          <w:sz w:val="24"/>
          <w:szCs w:val="24"/>
        </w:rPr>
        <w:t xml:space="preserve">voice on an already raucous debate. </w:t>
      </w:r>
      <w:r w:rsidR="00361EBF">
        <w:rPr>
          <w:rFonts w:ascii="Cambria" w:hAnsi="Cambria"/>
          <w:bCs/>
          <w:i/>
          <w:sz w:val="24"/>
          <w:szCs w:val="24"/>
        </w:rPr>
        <w:t xml:space="preserve"> </w:t>
      </w:r>
    </w:p>
    <w:p w:rsidR="00C32DBC" w:rsidRDefault="00C32DBC" w:rsidP="0095698B">
      <w:pPr>
        <w:pStyle w:val="xmsonormal"/>
        <w:rPr>
          <w:rFonts w:ascii="Cambria" w:hAnsi="Cambria"/>
          <w:bCs/>
          <w:i/>
          <w:sz w:val="24"/>
          <w:szCs w:val="24"/>
        </w:rPr>
      </w:pPr>
    </w:p>
    <w:p w:rsidR="00C32DBC" w:rsidRDefault="00C32DBC" w:rsidP="0095698B">
      <w:pPr>
        <w:pStyle w:val="xmsonormal"/>
        <w:rPr>
          <w:rFonts w:ascii="Cambria" w:hAnsi="Cambria"/>
          <w:bCs/>
          <w:i/>
          <w:sz w:val="24"/>
          <w:szCs w:val="24"/>
        </w:rPr>
      </w:pPr>
    </w:p>
    <w:p w:rsidR="00C32DBC" w:rsidRDefault="00C32DBC" w:rsidP="0095698B">
      <w:pPr>
        <w:pStyle w:val="xmsonormal"/>
        <w:rPr>
          <w:rFonts w:ascii="Cambria" w:hAnsi="Cambria"/>
          <w:bCs/>
          <w:i/>
          <w:sz w:val="24"/>
          <w:szCs w:val="24"/>
        </w:rPr>
      </w:pPr>
    </w:p>
    <w:p w:rsidR="00C32DBC" w:rsidRDefault="00C32DBC" w:rsidP="0095698B">
      <w:pPr>
        <w:pStyle w:val="xmsonormal"/>
        <w:rPr>
          <w:rFonts w:ascii="Cambria" w:hAnsi="Cambria"/>
          <w:bCs/>
          <w:i/>
          <w:sz w:val="24"/>
          <w:szCs w:val="24"/>
        </w:rPr>
      </w:pPr>
    </w:p>
    <w:p w:rsidR="0095698B" w:rsidRPr="00C32DBC" w:rsidRDefault="00C32DBC" w:rsidP="0095698B">
      <w:pPr>
        <w:pStyle w:val="xmsonormal"/>
        <w:rPr>
          <w:rFonts w:ascii="Cambria" w:hAnsi="Cambria"/>
          <w:sz w:val="48"/>
          <w:szCs w:val="48"/>
        </w:rPr>
      </w:pPr>
      <w:r w:rsidRPr="00C32DBC">
        <w:rPr>
          <w:rFonts w:ascii="Cambria" w:hAnsi="Cambria"/>
          <w:b/>
          <w:bCs/>
          <w:i/>
          <w:sz w:val="48"/>
          <w:szCs w:val="48"/>
        </w:rPr>
        <w:t xml:space="preserve">RESULTS: </w:t>
      </w:r>
      <w:bookmarkStart w:id="0" w:name="_GoBack"/>
      <w:bookmarkEnd w:id="0"/>
      <w:r>
        <w:rPr>
          <w:rFonts w:ascii="Cambria" w:hAnsi="Cambria"/>
          <w:b/>
          <w:bCs/>
          <w:i/>
          <w:sz w:val="48"/>
          <w:szCs w:val="48"/>
        </w:rPr>
        <w:t xml:space="preserve"> Motions were unanimously approved by all Commissioners, Dec. 2017</w:t>
      </w:r>
      <w:r w:rsidR="0095698B" w:rsidRPr="00C32DBC">
        <w:rPr>
          <w:rFonts w:ascii="Cambria" w:hAnsi="Cambria"/>
          <w:sz w:val="48"/>
          <w:szCs w:val="48"/>
        </w:rPr>
        <w:t xml:space="preserve">  </w:t>
      </w:r>
    </w:p>
    <w:sectPr w:rsidR="0095698B" w:rsidRPr="00C32DBC" w:rsidSect="00FA2DF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8A" w:rsidRDefault="00DC5B8A" w:rsidP="00375AF1">
      <w:pPr>
        <w:spacing w:after="0" w:line="240" w:lineRule="auto"/>
      </w:pPr>
      <w:r>
        <w:separator/>
      </w:r>
    </w:p>
  </w:endnote>
  <w:endnote w:type="continuationSeparator" w:id="0">
    <w:p w:rsidR="00DC5B8A" w:rsidRDefault="00DC5B8A" w:rsidP="00375AF1">
      <w:pPr>
        <w:spacing w:after="0" w:line="240" w:lineRule="auto"/>
      </w:pPr>
      <w:r>
        <w:continuationSeparator/>
      </w:r>
    </w:p>
  </w:endnote>
  <w:endnote w:id="1">
    <w:p w:rsidR="00FA2DFA" w:rsidRDefault="00FA2DFA" w:rsidP="00FA2DFA">
      <w:r>
        <w:rPr>
          <w:rStyle w:val="EndnoteReference"/>
        </w:rPr>
        <w:endnoteRef/>
      </w:r>
      <w:r>
        <w:t xml:space="preserve"> </w:t>
      </w:r>
      <w:r w:rsidRPr="00ED5253">
        <w:t>https://www.samhsa.gov/capt/practicing-effective-prevention/prevention-behavioral-health/risk-protective-factors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8A" w:rsidRDefault="00DC5B8A" w:rsidP="00375AF1">
      <w:pPr>
        <w:spacing w:after="0" w:line="240" w:lineRule="auto"/>
      </w:pPr>
      <w:r>
        <w:separator/>
      </w:r>
    </w:p>
  </w:footnote>
  <w:footnote w:type="continuationSeparator" w:id="0">
    <w:p w:rsidR="00DC5B8A" w:rsidRDefault="00DC5B8A" w:rsidP="00375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53B20"/>
    <w:multiLevelType w:val="multilevel"/>
    <w:tmpl w:val="14CA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10307BB"/>
    <w:multiLevelType w:val="hybridMultilevel"/>
    <w:tmpl w:val="3140D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9D53C1"/>
    <w:multiLevelType w:val="hybridMultilevel"/>
    <w:tmpl w:val="B1F81D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679B61B2"/>
    <w:multiLevelType w:val="hybridMultilevel"/>
    <w:tmpl w:val="8638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2A078E"/>
    <w:multiLevelType w:val="hybridMultilevel"/>
    <w:tmpl w:val="06623D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garet Hannah">
    <w15:presenceInfo w15:providerId="AD" w15:userId="S-1-5-21-2115635084-269385630-1844936127-70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918"/>
    <w:rsid w:val="00011ACD"/>
    <w:rsid w:val="001C19DA"/>
    <w:rsid w:val="0032432D"/>
    <w:rsid w:val="00361EBF"/>
    <w:rsid w:val="0036541F"/>
    <w:rsid w:val="00375918"/>
    <w:rsid w:val="00375AF1"/>
    <w:rsid w:val="003816E5"/>
    <w:rsid w:val="00414E00"/>
    <w:rsid w:val="005879CD"/>
    <w:rsid w:val="005E19F6"/>
    <w:rsid w:val="00601F43"/>
    <w:rsid w:val="006903B9"/>
    <w:rsid w:val="006B220F"/>
    <w:rsid w:val="006B4CE2"/>
    <w:rsid w:val="006D1CE0"/>
    <w:rsid w:val="00762C95"/>
    <w:rsid w:val="0087495F"/>
    <w:rsid w:val="00891921"/>
    <w:rsid w:val="0095698B"/>
    <w:rsid w:val="009673BC"/>
    <w:rsid w:val="00B05D5A"/>
    <w:rsid w:val="00C32DBC"/>
    <w:rsid w:val="00C74D6F"/>
    <w:rsid w:val="00CC1BCB"/>
    <w:rsid w:val="00CE15CF"/>
    <w:rsid w:val="00D60C59"/>
    <w:rsid w:val="00DA5D84"/>
    <w:rsid w:val="00DC5B8A"/>
    <w:rsid w:val="00ED5253"/>
    <w:rsid w:val="00F0571B"/>
    <w:rsid w:val="00F05D6B"/>
    <w:rsid w:val="00F66545"/>
    <w:rsid w:val="00F76AC3"/>
    <w:rsid w:val="00FA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18"/>
    <w:pPr>
      <w:ind w:left="720"/>
      <w:contextualSpacing/>
    </w:pPr>
  </w:style>
  <w:style w:type="paragraph" w:styleId="BalloonText">
    <w:name w:val="Balloon Text"/>
    <w:basedOn w:val="Normal"/>
    <w:link w:val="BalloonTextChar"/>
    <w:uiPriority w:val="99"/>
    <w:semiHidden/>
    <w:unhideWhenUsed/>
    <w:rsid w:val="00414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00"/>
    <w:rPr>
      <w:rFonts w:ascii="Segoe UI" w:hAnsi="Segoe UI" w:cs="Segoe UI"/>
      <w:sz w:val="18"/>
      <w:szCs w:val="18"/>
    </w:rPr>
  </w:style>
  <w:style w:type="character" w:styleId="Strong">
    <w:name w:val="Strong"/>
    <w:basedOn w:val="DefaultParagraphFont"/>
    <w:uiPriority w:val="22"/>
    <w:qFormat/>
    <w:rsid w:val="00ED5253"/>
    <w:rPr>
      <w:b/>
      <w:bCs/>
    </w:rPr>
  </w:style>
  <w:style w:type="character" w:styleId="Hyperlink">
    <w:name w:val="Hyperlink"/>
    <w:basedOn w:val="DefaultParagraphFont"/>
    <w:uiPriority w:val="99"/>
    <w:semiHidden/>
    <w:unhideWhenUsed/>
    <w:rsid w:val="00ED5253"/>
    <w:rPr>
      <w:color w:val="0000FF"/>
      <w:u w:val="single"/>
    </w:rPr>
  </w:style>
  <w:style w:type="paragraph" w:styleId="EndnoteText">
    <w:name w:val="endnote text"/>
    <w:basedOn w:val="Normal"/>
    <w:link w:val="EndnoteTextChar"/>
    <w:uiPriority w:val="99"/>
    <w:semiHidden/>
    <w:unhideWhenUsed/>
    <w:rsid w:val="00375A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5AF1"/>
    <w:rPr>
      <w:sz w:val="20"/>
      <w:szCs w:val="20"/>
    </w:rPr>
  </w:style>
  <w:style w:type="character" w:styleId="EndnoteReference">
    <w:name w:val="endnote reference"/>
    <w:basedOn w:val="DefaultParagraphFont"/>
    <w:uiPriority w:val="99"/>
    <w:semiHidden/>
    <w:unhideWhenUsed/>
    <w:rsid w:val="00375AF1"/>
    <w:rPr>
      <w:vertAlign w:val="superscript"/>
    </w:rPr>
  </w:style>
  <w:style w:type="paragraph" w:customStyle="1" w:styleId="xmsonormal">
    <w:name w:val="x_msonormal"/>
    <w:basedOn w:val="Normal"/>
    <w:rsid w:val="0095698B"/>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918"/>
    <w:pPr>
      <w:ind w:left="720"/>
      <w:contextualSpacing/>
    </w:pPr>
  </w:style>
  <w:style w:type="paragraph" w:styleId="BalloonText">
    <w:name w:val="Balloon Text"/>
    <w:basedOn w:val="Normal"/>
    <w:link w:val="BalloonTextChar"/>
    <w:uiPriority w:val="99"/>
    <w:semiHidden/>
    <w:unhideWhenUsed/>
    <w:rsid w:val="00414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00"/>
    <w:rPr>
      <w:rFonts w:ascii="Segoe UI" w:hAnsi="Segoe UI" w:cs="Segoe UI"/>
      <w:sz w:val="18"/>
      <w:szCs w:val="18"/>
    </w:rPr>
  </w:style>
  <w:style w:type="character" w:styleId="Strong">
    <w:name w:val="Strong"/>
    <w:basedOn w:val="DefaultParagraphFont"/>
    <w:uiPriority w:val="22"/>
    <w:qFormat/>
    <w:rsid w:val="00ED5253"/>
    <w:rPr>
      <w:b/>
      <w:bCs/>
    </w:rPr>
  </w:style>
  <w:style w:type="character" w:styleId="Hyperlink">
    <w:name w:val="Hyperlink"/>
    <w:basedOn w:val="DefaultParagraphFont"/>
    <w:uiPriority w:val="99"/>
    <w:semiHidden/>
    <w:unhideWhenUsed/>
    <w:rsid w:val="00ED5253"/>
    <w:rPr>
      <w:color w:val="0000FF"/>
      <w:u w:val="single"/>
    </w:rPr>
  </w:style>
  <w:style w:type="paragraph" w:styleId="EndnoteText">
    <w:name w:val="endnote text"/>
    <w:basedOn w:val="Normal"/>
    <w:link w:val="EndnoteTextChar"/>
    <w:uiPriority w:val="99"/>
    <w:semiHidden/>
    <w:unhideWhenUsed/>
    <w:rsid w:val="00375A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5AF1"/>
    <w:rPr>
      <w:sz w:val="20"/>
      <w:szCs w:val="20"/>
    </w:rPr>
  </w:style>
  <w:style w:type="character" w:styleId="EndnoteReference">
    <w:name w:val="endnote reference"/>
    <w:basedOn w:val="DefaultParagraphFont"/>
    <w:uiPriority w:val="99"/>
    <w:semiHidden/>
    <w:unhideWhenUsed/>
    <w:rsid w:val="00375AF1"/>
    <w:rPr>
      <w:vertAlign w:val="superscript"/>
    </w:rPr>
  </w:style>
  <w:style w:type="paragraph" w:customStyle="1" w:styleId="xmsonormal">
    <w:name w:val="x_msonormal"/>
    <w:basedOn w:val="Normal"/>
    <w:rsid w:val="0095698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3873">
      <w:bodyDiv w:val="1"/>
      <w:marLeft w:val="0"/>
      <w:marRight w:val="0"/>
      <w:marTop w:val="0"/>
      <w:marBottom w:val="0"/>
      <w:divBdr>
        <w:top w:val="none" w:sz="0" w:space="0" w:color="auto"/>
        <w:left w:val="none" w:sz="0" w:space="0" w:color="auto"/>
        <w:bottom w:val="none" w:sz="0" w:space="0" w:color="auto"/>
        <w:right w:val="none" w:sz="0" w:space="0" w:color="auto"/>
      </w:divBdr>
    </w:div>
    <w:div w:id="698121207">
      <w:bodyDiv w:val="1"/>
      <w:marLeft w:val="0"/>
      <w:marRight w:val="0"/>
      <w:marTop w:val="0"/>
      <w:marBottom w:val="0"/>
      <w:divBdr>
        <w:top w:val="none" w:sz="0" w:space="0" w:color="auto"/>
        <w:left w:val="none" w:sz="0" w:space="0" w:color="auto"/>
        <w:bottom w:val="none" w:sz="0" w:space="0" w:color="auto"/>
        <w:right w:val="none" w:sz="0" w:space="0" w:color="auto"/>
      </w:divBdr>
    </w:div>
    <w:div w:id="736246121">
      <w:bodyDiv w:val="1"/>
      <w:marLeft w:val="0"/>
      <w:marRight w:val="0"/>
      <w:marTop w:val="0"/>
      <w:marBottom w:val="0"/>
      <w:divBdr>
        <w:top w:val="none" w:sz="0" w:space="0" w:color="auto"/>
        <w:left w:val="none" w:sz="0" w:space="0" w:color="auto"/>
        <w:bottom w:val="none" w:sz="0" w:space="0" w:color="auto"/>
        <w:right w:val="none" w:sz="0" w:space="0" w:color="auto"/>
      </w:divBdr>
    </w:div>
    <w:div w:id="1716199031">
      <w:bodyDiv w:val="1"/>
      <w:marLeft w:val="0"/>
      <w:marRight w:val="0"/>
      <w:marTop w:val="0"/>
      <w:marBottom w:val="0"/>
      <w:divBdr>
        <w:top w:val="none" w:sz="0" w:space="0" w:color="auto"/>
        <w:left w:val="none" w:sz="0" w:space="0" w:color="auto"/>
        <w:bottom w:val="none" w:sz="0" w:space="0" w:color="auto"/>
        <w:right w:val="none" w:sz="0" w:space="0" w:color="auto"/>
      </w:divBdr>
    </w:div>
    <w:div w:id="18746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6A47-5737-4D2C-8983-F06A2EC9D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Rebekah</dc:creator>
  <cp:lastModifiedBy>Thomas, Benjamin (HOU)</cp:lastModifiedBy>
  <cp:revision>5</cp:revision>
  <cp:lastPrinted>2017-11-29T17:29:00Z</cp:lastPrinted>
  <dcterms:created xsi:type="dcterms:W3CDTF">2017-12-07T17:24:00Z</dcterms:created>
  <dcterms:modified xsi:type="dcterms:W3CDTF">2018-01-18T17:40:00Z</dcterms:modified>
</cp:coreProperties>
</file>